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0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0"/>
        <w:gridCol w:w="3690"/>
        <w:gridCol w:w="3420"/>
        <w:gridCol w:w="3690"/>
        <w:gridCol w:w="3510"/>
        <w:gridCol w:w="360"/>
      </w:tblGrid>
      <w:tr w:rsidR="00F4605D" w:rsidRPr="008861E9" w:rsidTr="002B2060">
        <w:trPr>
          <w:trHeight w:val="215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BFBFBF"/>
          </w:tcPr>
          <w:p w:rsidR="00F4605D" w:rsidRPr="002B2060" w:rsidRDefault="001879F0" w:rsidP="00AD71B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B2060">
              <w:rPr>
                <w:rFonts w:asciiTheme="minorHAnsi" w:hAnsiTheme="minorHAnsi"/>
                <w:b/>
                <w:sz w:val="18"/>
                <w:szCs w:val="18"/>
              </w:rPr>
              <w:t>CCSS</w:t>
            </w:r>
          </w:p>
        </w:tc>
        <w:tc>
          <w:tcPr>
            <w:tcW w:w="369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6F5F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6F5F9E">
              <w:rPr>
                <w:rFonts w:asciiTheme="minorHAnsi" w:hAnsiTheme="minorHAnsi"/>
                <w:b/>
                <w:sz w:val="20"/>
                <w:szCs w:val="20"/>
              </w:rPr>
              <w:t>Standard Exceeded</w:t>
            </w:r>
          </w:p>
        </w:tc>
        <w:tc>
          <w:tcPr>
            <w:tcW w:w="3420" w:type="dxa"/>
            <w:shd w:val="clear" w:color="auto" w:fill="BFBFBF"/>
          </w:tcPr>
          <w:p w:rsidR="00F4605D" w:rsidRPr="00B50F7E" w:rsidRDefault="00F4605D" w:rsidP="006F5F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6F5F9E">
              <w:rPr>
                <w:rFonts w:asciiTheme="minorHAnsi" w:hAnsiTheme="minorHAnsi"/>
                <w:b/>
                <w:sz w:val="20"/>
                <w:szCs w:val="20"/>
              </w:rPr>
              <w:t>Standard Met</w:t>
            </w:r>
          </w:p>
        </w:tc>
        <w:tc>
          <w:tcPr>
            <w:tcW w:w="3690" w:type="dxa"/>
            <w:shd w:val="clear" w:color="auto" w:fill="BFBFBF"/>
          </w:tcPr>
          <w:p w:rsidR="00F4605D" w:rsidRPr="00B50F7E" w:rsidRDefault="00F4605D" w:rsidP="006F5F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6F5F9E">
              <w:rPr>
                <w:rFonts w:asciiTheme="minorHAnsi" w:hAnsiTheme="minorHAnsi"/>
                <w:b/>
                <w:sz w:val="20"/>
                <w:szCs w:val="20"/>
              </w:rPr>
              <w:t>Standard Nearly Met</w:t>
            </w:r>
          </w:p>
        </w:tc>
        <w:tc>
          <w:tcPr>
            <w:tcW w:w="3510" w:type="dxa"/>
            <w:shd w:val="clear" w:color="auto" w:fill="BFBFBF"/>
          </w:tcPr>
          <w:p w:rsidR="00F4605D" w:rsidRPr="00B50F7E" w:rsidRDefault="00F4605D" w:rsidP="006F5F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6F5F9E">
              <w:rPr>
                <w:rFonts w:asciiTheme="minorHAnsi" w:hAnsiTheme="minorHAnsi"/>
                <w:b/>
                <w:sz w:val="20"/>
                <w:szCs w:val="20"/>
              </w:rPr>
              <w:t>Standard Not Met</w:t>
            </w:r>
          </w:p>
        </w:tc>
        <w:tc>
          <w:tcPr>
            <w:tcW w:w="360" w:type="dxa"/>
            <w:shd w:val="clear" w:color="auto" w:fill="BFBFBF"/>
          </w:tcPr>
          <w:p w:rsidR="00F4605D" w:rsidRPr="002B2060" w:rsidRDefault="00F4605D" w:rsidP="00AD71B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2060">
              <w:rPr>
                <w:rFonts w:ascii="Cambria" w:hAnsi="Cambria"/>
                <w:b/>
                <w:sz w:val="20"/>
                <w:szCs w:val="20"/>
              </w:rPr>
              <w:t>NS</w:t>
            </w:r>
          </w:p>
        </w:tc>
      </w:tr>
      <w:tr w:rsidR="00B50F7E" w:rsidRPr="00C06464" w:rsidTr="002B2060">
        <w:trPr>
          <w:cantSplit/>
          <w:trHeight w:val="1277"/>
        </w:trPr>
        <w:tc>
          <w:tcPr>
            <w:tcW w:w="360" w:type="dxa"/>
          </w:tcPr>
          <w:p w:rsidR="00B50F7E" w:rsidRPr="002B2060" w:rsidRDefault="00B50F7E" w:rsidP="00AD71B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50F7E" w:rsidRPr="002B2060" w:rsidRDefault="00B50F7E" w:rsidP="00AD71BE">
            <w:pPr>
              <w:rPr>
                <w:rFonts w:asciiTheme="minorHAnsi" w:hAnsiTheme="minorHAnsi"/>
                <w:sz w:val="18"/>
                <w:szCs w:val="18"/>
              </w:rPr>
            </w:pPr>
            <w:r w:rsidRPr="002B2060">
              <w:rPr>
                <w:rFonts w:asciiTheme="minorHAnsi" w:hAnsiTheme="minorHAnsi"/>
                <w:sz w:val="18"/>
                <w:szCs w:val="18"/>
              </w:rPr>
              <w:t>W</w:t>
            </w:r>
            <w:r w:rsidR="008C4454" w:rsidRPr="002B2060">
              <w:rPr>
                <w:rFonts w:asciiTheme="minorHAnsi" w:hAnsiTheme="minorHAnsi"/>
                <w:sz w:val="18"/>
                <w:szCs w:val="18"/>
              </w:rPr>
              <w:t>.</w:t>
            </w:r>
            <w:r w:rsidR="00566689" w:rsidRPr="002B2060">
              <w:rPr>
                <w:rFonts w:asciiTheme="minorHAnsi" w:hAnsiTheme="minorHAnsi"/>
                <w:sz w:val="18"/>
                <w:szCs w:val="18"/>
              </w:rPr>
              <w:t>1</w:t>
            </w:r>
            <w:r w:rsidR="002A5D2A" w:rsidRPr="002B2060">
              <w:rPr>
                <w:rFonts w:asciiTheme="minorHAnsi" w:hAnsiTheme="minorHAnsi"/>
                <w:sz w:val="18"/>
                <w:szCs w:val="18"/>
              </w:rPr>
              <w:t>.</w:t>
            </w:r>
            <w:r w:rsidRPr="002B2060">
              <w:rPr>
                <w:rFonts w:asciiTheme="minorHAnsi" w:hAnsiTheme="minorHAnsi"/>
                <w:sz w:val="18"/>
                <w:szCs w:val="18"/>
              </w:rPr>
              <w:t>a</w:t>
            </w:r>
          </w:p>
          <w:p w:rsidR="00B50F7E" w:rsidRPr="002B2060" w:rsidRDefault="00B50F7E" w:rsidP="00B50F7E">
            <w:pPr>
              <w:ind w:left="45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1879F0" w:rsidRPr="002B2060" w:rsidRDefault="00250945" w:rsidP="001879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060">
              <w:rPr>
                <w:rFonts w:asciiTheme="minorHAnsi" w:hAnsiTheme="minorHAnsi"/>
                <w:sz w:val="18"/>
                <w:szCs w:val="18"/>
              </w:rPr>
              <w:t>Insightfully i</w:t>
            </w:r>
            <w:r w:rsidR="00C70897" w:rsidRPr="002B2060">
              <w:rPr>
                <w:rFonts w:asciiTheme="minorHAnsi" w:hAnsiTheme="minorHAnsi"/>
                <w:sz w:val="18"/>
                <w:szCs w:val="18"/>
              </w:rPr>
              <w:t>ntroduce</w:t>
            </w:r>
            <w:r w:rsidRPr="002B2060">
              <w:rPr>
                <w:rFonts w:asciiTheme="minorHAnsi" w:hAnsiTheme="minorHAnsi"/>
                <w:sz w:val="18"/>
                <w:szCs w:val="18"/>
              </w:rPr>
              <w:t>s a precise claim</w:t>
            </w:r>
          </w:p>
          <w:p w:rsidR="001879F0" w:rsidRPr="002B2060" w:rsidRDefault="001879F0" w:rsidP="001879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060">
              <w:rPr>
                <w:rFonts w:asciiTheme="minorHAnsi" w:hAnsiTheme="minorHAnsi"/>
                <w:sz w:val="18"/>
                <w:szCs w:val="18"/>
              </w:rPr>
              <w:t>C</w:t>
            </w:r>
            <w:r w:rsidR="00250945" w:rsidRPr="002B2060">
              <w:rPr>
                <w:rFonts w:asciiTheme="minorHAnsi" w:hAnsiTheme="minorHAnsi"/>
                <w:sz w:val="18"/>
                <w:szCs w:val="18"/>
              </w:rPr>
              <w:t xml:space="preserve">learly </w:t>
            </w:r>
            <w:r w:rsidR="00C70897" w:rsidRPr="002B2060">
              <w:rPr>
                <w:rFonts w:asciiTheme="minorHAnsi" w:hAnsiTheme="minorHAnsi"/>
                <w:sz w:val="18"/>
                <w:szCs w:val="18"/>
              </w:rPr>
              <w:t>distinguish</w:t>
            </w:r>
            <w:r w:rsidR="00250945" w:rsidRPr="002B2060">
              <w:rPr>
                <w:rFonts w:asciiTheme="minorHAnsi" w:hAnsiTheme="minorHAnsi"/>
                <w:sz w:val="18"/>
                <w:szCs w:val="18"/>
              </w:rPr>
              <w:t>es the claim</w:t>
            </w:r>
            <w:r w:rsidR="00C70897" w:rsidRPr="002B2060">
              <w:rPr>
                <w:rFonts w:asciiTheme="minorHAnsi" w:hAnsiTheme="minorHAnsi"/>
                <w:sz w:val="18"/>
                <w:szCs w:val="18"/>
              </w:rPr>
              <w:t xml:space="preserve"> fro</w:t>
            </w:r>
            <w:r w:rsidRPr="002B2060">
              <w:rPr>
                <w:rFonts w:asciiTheme="minorHAnsi" w:hAnsiTheme="minorHAnsi"/>
                <w:sz w:val="18"/>
                <w:szCs w:val="18"/>
              </w:rPr>
              <w:t>m alternate or opposing claims</w:t>
            </w:r>
          </w:p>
          <w:p w:rsidR="00B50F7E" w:rsidRPr="002B2060" w:rsidRDefault="001879F0" w:rsidP="001879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060">
              <w:rPr>
                <w:rFonts w:asciiTheme="minorHAnsi" w:hAnsiTheme="minorHAnsi"/>
                <w:sz w:val="18"/>
                <w:szCs w:val="18"/>
              </w:rPr>
              <w:t>C</w:t>
            </w:r>
            <w:r w:rsidR="00C70897" w:rsidRPr="002B2060">
              <w:rPr>
                <w:rFonts w:asciiTheme="minorHAnsi" w:hAnsiTheme="minorHAnsi"/>
                <w:sz w:val="18"/>
                <w:szCs w:val="18"/>
              </w:rPr>
              <w:t>reate</w:t>
            </w:r>
            <w:r w:rsidR="00250945" w:rsidRPr="002B2060">
              <w:rPr>
                <w:rFonts w:asciiTheme="minorHAnsi" w:hAnsiTheme="minorHAnsi"/>
                <w:sz w:val="18"/>
                <w:szCs w:val="18"/>
              </w:rPr>
              <w:t>s a logical</w:t>
            </w:r>
            <w:r w:rsidR="009213E7" w:rsidRPr="002B2060">
              <w:rPr>
                <w:rFonts w:asciiTheme="minorHAnsi" w:hAnsiTheme="minorHAnsi"/>
                <w:sz w:val="18"/>
                <w:szCs w:val="18"/>
              </w:rPr>
              <w:t xml:space="preserve"> and</w:t>
            </w:r>
            <w:r w:rsidR="00250945" w:rsidRPr="002B20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70897" w:rsidRPr="002B2060">
              <w:rPr>
                <w:rFonts w:asciiTheme="minorHAnsi" w:hAnsiTheme="minorHAnsi"/>
                <w:sz w:val="18"/>
                <w:szCs w:val="18"/>
              </w:rPr>
              <w:t>organization that establishes cl</w:t>
            </w:r>
            <w:r w:rsidR="00250945" w:rsidRPr="002B2060">
              <w:rPr>
                <w:rFonts w:asciiTheme="minorHAnsi" w:hAnsiTheme="minorHAnsi"/>
                <w:sz w:val="18"/>
                <w:szCs w:val="18"/>
              </w:rPr>
              <w:t>ear relationships among</w:t>
            </w:r>
            <w:r w:rsidR="00FE4D3D" w:rsidRPr="002B2060">
              <w:rPr>
                <w:rFonts w:asciiTheme="minorHAnsi" w:hAnsiTheme="minorHAnsi"/>
                <w:sz w:val="18"/>
                <w:szCs w:val="18"/>
              </w:rPr>
              <w:t xml:space="preserve"> the</w:t>
            </w:r>
            <w:r w:rsidR="00250945" w:rsidRPr="002B2060">
              <w:rPr>
                <w:rFonts w:asciiTheme="minorHAnsi" w:hAnsiTheme="minorHAnsi"/>
                <w:sz w:val="18"/>
                <w:szCs w:val="18"/>
              </w:rPr>
              <w:t xml:space="preserve"> claim</w:t>
            </w:r>
            <w:r w:rsidR="00C70897" w:rsidRPr="002B2060">
              <w:rPr>
                <w:rFonts w:asciiTheme="minorHAnsi" w:hAnsiTheme="minorHAnsi"/>
                <w:sz w:val="18"/>
                <w:szCs w:val="18"/>
              </w:rPr>
              <w:t>, counterclaims, reasons, and evidence.</w:t>
            </w:r>
          </w:p>
        </w:tc>
        <w:tc>
          <w:tcPr>
            <w:tcW w:w="3420" w:type="dxa"/>
          </w:tcPr>
          <w:p w:rsidR="003E2F3E" w:rsidRDefault="00566689" w:rsidP="003E2F3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897">
              <w:rPr>
                <w:rFonts w:asciiTheme="minorHAnsi" w:hAnsiTheme="minorHAnsi"/>
                <w:sz w:val="20"/>
                <w:szCs w:val="20"/>
              </w:rPr>
              <w:t>Introduce</w:t>
            </w:r>
            <w:r w:rsidR="00250945">
              <w:rPr>
                <w:rFonts w:asciiTheme="minorHAnsi" w:hAnsiTheme="minorHAnsi"/>
                <w:sz w:val="20"/>
                <w:szCs w:val="20"/>
              </w:rPr>
              <w:t>s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50945">
              <w:rPr>
                <w:rFonts w:asciiTheme="minorHAnsi" w:hAnsiTheme="minorHAnsi"/>
                <w:sz w:val="20"/>
                <w:szCs w:val="20"/>
              </w:rPr>
              <w:t>a precise claim</w:t>
            </w:r>
          </w:p>
          <w:p w:rsidR="003E2F3E" w:rsidRDefault="003E2F3E" w:rsidP="003E2F3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>istinguish</w:t>
            </w:r>
            <w:r w:rsidR="00250945">
              <w:rPr>
                <w:rFonts w:asciiTheme="minorHAnsi" w:hAnsiTheme="minorHAnsi"/>
                <w:sz w:val="20"/>
                <w:szCs w:val="20"/>
              </w:rPr>
              <w:t>es the claim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 xml:space="preserve"> fr</w:t>
            </w:r>
            <w:r>
              <w:rPr>
                <w:rFonts w:asciiTheme="minorHAnsi" w:hAnsiTheme="minorHAnsi"/>
                <w:sz w:val="20"/>
                <w:szCs w:val="20"/>
              </w:rPr>
              <w:t>om alternate or opposing claims</w:t>
            </w:r>
          </w:p>
          <w:p w:rsidR="00B50F7E" w:rsidRPr="00C70897" w:rsidRDefault="003E2F3E" w:rsidP="003E2F3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>reate</w:t>
            </w:r>
            <w:r w:rsidR="00250945">
              <w:rPr>
                <w:rFonts w:asciiTheme="minorHAnsi" w:hAnsiTheme="minorHAnsi"/>
                <w:sz w:val="20"/>
                <w:szCs w:val="20"/>
              </w:rPr>
              <w:t>s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 xml:space="preserve"> an organization that establishes cl</w:t>
            </w:r>
            <w:r w:rsidR="00250945">
              <w:rPr>
                <w:rFonts w:asciiTheme="minorHAnsi" w:hAnsiTheme="minorHAnsi"/>
                <w:sz w:val="20"/>
                <w:szCs w:val="20"/>
              </w:rPr>
              <w:t xml:space="preserve">ear relationships among </w:t>
            </w:r>
            <w:r w:rsidR="00FE4D3D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250945">
              <w:rPr>
                <w:rFonts w:asciiTheme="minorHAnsi" w:hAnsiTheme="minorHAnsi"/>
                <w:sz w:val="20"/>
                <w:szCs w:val="20"/>
              </w:rPr>
              <w:t>claim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>, counterclaims, reasons, and evidence.</w:t>
            </w:r>
          </w:p>
        </w:tc>
        <w:tc>
          <w:tcPr>
            <w:tcW w:w="3690" w:type="dxa"/>
          </w:tcPr>
          <w:p w:rsidR="00052536" w:rsidRDefault="00250945" w:rsidP="002B206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052536">
              <w:rPr>
                <w:rFonts w:asciiTheme="minorHAnsi" w:hAnsiTheme="minorHAnsi"/>
                <w:sz w:val="20"/>
                <w:szCs w:val="20"/>
              </w:rPr>
              <w:t xml:space="preserve">Introduces a claim that may be somewhat unclear, </w:t>
            </w:r>
            <w:r w:rsidR="006D5B58">
              <w:rPr>
                <w:rFonts w:asciiTheme="minorHAnsi" w:hAnsiTheme="minorHAnsi"/>
                <w:sz w:val="20"/>
                <w:szCs w:val="20"/>
              </w:rPr>
              <w:t>or it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 xml:space="preserve"> may be confusing.  </w:t>
            </w:r>
          </w:p>
          <w:p w:rsidR="009213E7" w:rsidRDefault="00776560" w:rsidP="0005253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Attempts to</w:t>
            </w:r>
            <w:r w:rsidR="009213E7">
              <w:rPr>
                <w:rFonts w:asciiTheme="minorHAnsi" w:hAnsiTheme="minorHAnsi"/>
                <w:sz w:val="20"/>
                <w:szCs w:val="20"/>
              </w:rPr>
              <w:t xml:space="preserve"> distinguish the claim from alternate or opposing claims</w:t>
            </w:r>
          </w:p>
          <w:p w:rsidR="00455923" w:rsidRPr="00052536" w:rsidRDefault="00776560" w:rsidP="006D5B5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Attempts to</w:t>
            </w:r>
            <w:r w:rsidR="00250945" w:rsidRPr="00052536">
              <w:rPr>
                <w:rFonts w:asciiTheme="minorHAnsi" w:hAnsiTheme="minorHAnsi"/>
                <w:sz w:val="20"/>
                <w:szCs w:val="20"/>
              </w:rPr>
              <w:t xml:space="preserve"> establish clear relationships among</w:t>
            </w:r>
            <w:r w:rsidR="00FE4D3D" w:rsidRPr="00052536"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250945" w:rsidRPr="00052536">
              <w:rPr>
                <w:rFonts w:asciiTheme="minorHAnsi" w:hAnsiTheme="minorHAnsi"/>
                <w:sz w:val="20"/>
                <w:szCs w:val="20"/>
              </w:rPr>
              <w:t xml:space="preserve"> claim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>, count</w:t>
            </w:r>
            <w:r w:rsidR="009213E7">
              <w:rPr>
                <w:rFonts w:asciiTheme="minorHAnsi" w:hAnsiTheme="minorHAnsi"/>
                <w:sz w:val="20"/>
                <w:szCs w:val="20"/>
              </w:rPr>
              <w:t>erclaims, reasons, and evidence</w:t>
            </w:r>
          </w:p>
        </w:tc>
        <w:tc>
          <w:tcPr>
            <w:tcW w:w="3510" w:type="dxa"/>
          </w:tcPr>
          <w:p w:rsidR="009213E7" w:rsidRDefault="00250945" w:rsidP="0005253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 i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>ntroduce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pr</w:t>
            </w:r>
            <w:r>
              <w:rPr>
                <w:rFonts w:asciiTheme="minorHAnsi" w:hAnsiTheme="minorHAnsi"/>
                <w:sz w:val="20"/>
                <w:szCs w:val="20"/>
              </w:rPr>
              <w:t>ecise claim</w:t>
            </w:r>
          </w:p>
          <w:p w:rsidR="00052536" w:rsidRDefault="009213E7" w:rsidP="0005253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</w:t>
            </w:r>
            <w:r w:rsidR="00250945">
              <w:rPr>
                <w:rFonts w:asciiTheme="minorHAnsi" w:hAnsiTheme="minorHAnsi"/>
                <w:sz w:val="20"/>
                <w:szCs w:val="20"/>
              </w:rPr>
              <w:t xml:space="preserve"> distinguish the claim 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>from alternate or opposing claims</w:t>
            </w:r>
            <w:r w:rsidR="00250945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B50F7E" w:rsidRPr="00C70897" w:rsidRDefault="00250945" w:rsidP="0005253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rganization </w:t>
            </w:r>
            <w:r>
              <w:rPr>
                <w:rFonts w:asciiTheme="minorHAnsi" w:hAnsiTheme="minorHAnsi"/>
                <w:sz w:val="20"/>
                <w:szCs w:val="20"/>
              </w:rPr>
              <w:t>does not establish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clear relationships among </w:t>
            </w:r>
            <w:r w:rsidR="00FE4D3D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052536">
              <w:rPr>
                <w:rFonts w:asciiTheme="minorHAnsi" w:hAnsiTheme="minorHAnsi"/>
                <w:sz w:val="20"/>
                <w:szCs w:val="20"/>
              </w:rPr>
              <w:t>claim, counterclaims</w:t>
            </w:r>
            <w:r w:rsidR="009213E7">
              <w:rPr>
                <w:rFonts w:asciiTheme="minorHAnsi" w:hAnsiTheme="minorHAnsi"/>
                <w:sz w:val="20"/>
                <w:szCs w:val="20"/>
              </w:rPr>
              <w:t>, reasons, and evidence</w:t>
            </w:r>
          </w:p>
        </w:tc>
        <w:tc>
          <w:tcPr>
            <w:tcW w:w="360" w:type="dxa"/>
            <w:vMerge w:val="restart"/>
            <w:textDirection w:val="tbRl"/>
          </w:tcPr>
          <w:p w:rsidR="00B50F7E" w:rsidRPr="002B2060" w:rsidRDefault="00B50F7E" w:rsidP="00DB01AB">
            <w:pPr>
              <w:ind w:left="72" w:right="113" w:firstLine="90"/>
              <w:rPr>
                <w:rFonts w:ascii="Cambria" w:hAnsi="Cambria"/>
                <w:sz w:val="20"/>
                <w:szCs w:val="20"/>
              </w:rPr>
            </w:pPr>
            <w:r w:rsidRPr="002B2060">
              <w:rPr>
                <w:rFonts w:ascii="Cambria" w:hAnsi="Cambria"/>
                <w:sz w:val="20"/>
                <w:szCs w:val="20"/>
              </w:rPr>
              <w:t xml:space="preserve">           Incoherent, Off-task, Illegible</w:t>
            </w:r>
          </w:p>
          <w:p w:rsidR="00B50F7E" w:rsidRPr="002B2060" w:rsidRDefault="00B50F7E" w:rsidP="00DB01AB">
            <w:pPr>
              <w:ind w:left="72" w:right="113" w:firstLine="90"/>
              <w:rPr>
                <w:rFonts w:ascii="Cambria" w:hAnsi="Cambria"/>
                <w:sz w:val="20"/>
                <w:szCs w:val="20"/>
              </w:rPr>
            </w:pPr>
          </w:p>
          <w:p w:rsidR="00B50F7E" w:rsidRPr="002B2060" w:rsidRDefault="00B50F7E" w:rsidP="00DB01AB">
            <w:pPr>
              <w:ind w:left="72" w:right="113" w:firstLine="90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:rsidTr="002B2060">
        <w:trPr>
          <w:trHeight w:val="1232"/>
        </w:trPr>
        <w:tc>
          <w:tcPr>
            <w:tcW w:w="360" w:type="dxa"/>
          </w:tcPr>
          <w:p w:rsidR="00B50F7E" w:rsidRPr="002B2060" w:rsidRDefault="00B50F7E" w:rsidP="00AD71B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50F7E" w:rsidRPr="002B2060" w:rsidRDefault="00B50F7E" w:rsidP="00AD71B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50F7E" w:rsidRPr="002B2060" w:rsidRDefault="00B50F7E" w:rsidP="00AD71BE">
            <w:pPr>
              <w:rPr>
                <w:rFonts w:asciiTheme="minorHAnsi" w:hAnsiTheme="minorHAnsi"/>
                <w:sz w:val="18"/>
                <w:szCs w:val="18"/>
              </w:rPr>
            </w:pPr>
            <w:r w:rsidRPr="002B2060">
              <w:rPr>
                <w:rFonts w:asciiTheme="minorHAnsi" w:hAnsiTheme="minorHAnsi"/>
                <w:sz w:val="18"/>
                <w:szCs w:val="18"/>
              </w:rPr>
              <w:t>W</w:t>
            </w:r>
            <w:r w:rsidR="008C4454" w:rsidRPr="002B2060">
              <w:rPr>
                <w:rFonts w:asciiTheme="minorHAnsi" w:hAnsiTheme="minorHAnsi"/>
                <w:sz w:val="18"/>
                <w:szCs w:val="18"/>
              </w:rPr>
              <w:t>.</w:t>
            </w:r>
            <w:r w:rsidR="00566689" w:rsidRPr="002B2060">
              <w:rPr>
                <w:rFonts w:asciiTheme="minorHAnsi" w:hAnsiTheme="minorHAnsi"/>
                <w:sz w:val="18"/>
                <w:szCs w:val="18"/>
              </w:rPr>
              <w:t>1</w:t>
            </w:r>
            <w:r w:rsidR="002A5D2A" w:rsidRPr="002B2060">
              <w:rPr>
                <w:rFonts w:asciiTheme="minorHAnsi" w:hAnsiTheme="minorHAnsi"/>
                <w:sz w:val="18"/>
                <w:szCs w:val="18"/>
              </w:rPr>
              <w:t>.</w:t>
            </w:r>
            <w:r w:rsidR="008C4454" w:rsidRPr="002B2060">
              <w:rPr>
                <w:rFonts w:asciiTheme="minorHAnsi" w:hAnsiTheme="minorHAnsi"/>
                <w:sz w:val="18"/>
                <w:szCs w:val="18"/>
              </w:rPr>
              <w:t>b</w:t>
            </w:r>
          </w:p>
          <w:p w:rsidR="00B50F7E" w:rsidRPr="002B2060" w:rsidRDefault="00B50F7E" w:rsidP="00B50F7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B206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1879F0" w:rsidRPr="002B2060" w:rsidRDefault="009213E7" w:rsidP="001879F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060">
              <w:rPr>
                <w:rFonts w:asciiTheme="minorHAnsi" w:hAnsiTheme="minorHAnsi"/>
                <w:sz w:val="18"/>
                <w:szCs w:val="18"/>
              </w:rPr>
              <w:t>Fully d</w:t>
            </w:r>
            <w:r w:rsidR="00250945" w:rsidRPr="002B2060">
              <w:rPr>
                <w:rFonts w:asciiTheme="minorHAnsi" w:hAnsiTheme="minorHAnsi"/>
                <w:sz w:val="18"/>
                <w:szCs w:val="18"/>
              </w:rPr>
              <w:t>evelops</w:t>
            </w:r>
            <w:r w:rsidRPr="002B2060">
              <w:rPr>
                <w:rFonts w:asciiTheme="minorHAnsi" w:hAnsiTheme="minorHAnsi"/>
                <w:sz w:val="18"/>
                <w:szCs w:val="18"/>
              </w:rPr>
              <w:t xml:space="preserve"> both</w:t>
            </w:r>
            <w:r w:rsidR="00250945" w:rsidRPr="002B20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E4D3D" w:rsidRPr="002B2060">
              <w:rPr>
                <w:rFonts w:asciiTheme="minorHAnsi" w:hAnsiTheme="minorHAnsi"/>
                <w:sz w:val="18"/>
                <w:szCs w:val="18"/>
              </w:rPr>
              <w:t xml:space="preserve">the </w:t>
            </w:r>
            <w:r w:rsidR="00250945" w:rsidRPr="002B2060">
              <w:rPr>
                <w:rFonts w:asciiTheme="minorHAnsi" w:hAnsiTheme="minorHAnsi"/>
                <w:sz w:val="18"/>
                <w:szCs w:val="18"/>
              </w:rPr>
              <w:t>claim</w:t>
            </w:r>
            <w:r w:rsidR="001879F0" w:rsidRPr="002B2060">
              <w:rPr>
                <w:rFonts w:asciiTheme="minorHAnsi" w:hAnsiTheme="minorHAnsi"/>
                <w:sz w:val="18"/>
                <w:szCs w:val="18"/>
              </w:rPr>
              <w:t xml:space="preserve"> and counterclaims fairly</w:t>
            </w:r>
          </w:p>
          <w:p w:rsidR="001879F0" w:rsidRPr="002B2060" w:rsidRDefault="001879F0" w:rsidP="001879F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060">
              <w:rPr>
                <w:rFonts w:asciiTheme="minorHAnsi" w:hAnsiTheme="minorHAnsi"/>
                <w:sz w:val="18"/>
                <w:szCs w:val="18"/>
              </w:rPr>
              <w:t>Supplies</w:t>
            </w:r>
            <w:r w:rsidR="00C70897" w:rsidRPr="002B20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50945" w:rsidRPr="002B2060">
              <w:rPr>
                <w:rFonts w:asciiTheme="minorHAnsi" w:hAnsiTheme="minorHAnsi"/>
                <w:sz w:val="18"/>
                <w:szCs w:val="18"/>
              </w:rPr>
              <w:t xml:space="preserve">reliable and relevant </w:t>
            </w:r>
            <w:r w:rsidR="00C70897" w:rsidRPr="002B2060">
              <w:rPr>
                <w:rFonts w:asciiTheme="minorHAnsi" w:hAnsiTheme="minorHAnsi"/>
                <w:sz w:val="18"/>
                <w:szCs w:val="18"/>
              </w:rPr>
              <w:t xml:space="preserve">evidence for each </w:t>
            </w:r>
          </w:p>
          <w:p w:rsidR="00B50F7E" w:rsidRPr="002B2060" w:rsidRDefault="001879F0" w:rsidP="001879F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060">
              <w:rPr>
                <w:rFonts w:asciiTheme="minorHAnsi" w:hAnsiTheme="minorHAnsi"/>
                <w:sz w:val="18"/>
                <w:szCs w:val="18"/>
              </w:rPr>
              <w:t>Thoroughly p</w:t>
            </w:r>
            <w:r w:rsidR="00C70897" w:rsidRPr="002B2060">
              <w:rPr>
                <w:rFonts w:asciiTheme="minorHAnsi" w:hAnsiTheme="minorHAnsi"/>
                <w:sz w:val="18"/>
                <w:szCs w:val="18"/>
              </w:rPr>
              <w:t>oint</w:t>
            </w:r>
            <w:r w:rsidRPr="002B2060">
              <w:rPr>
                <w:rFonts w:asciiTheme="minorHAnsi" w:hAnsiTheme="minorHAnsi"/>
                <w:sz w:val="18"/>
                <w:szCs w:val="18"/>
              </w:rPr>
              <w:t>s</w:t>
            </w:r>
            <w:r w:rsidR="00C70897" w:rsidRPr="002B2060">
              <w:rPr>
                <w:rFonts w:asciiTheme="minorHAnsi" w:hAnsiTheme="minorHAnsi"/>
                <w:sz w:val="18"/>
                <w:szCs w:val="18"/>
              </w:rPr>
              <w:t xml:space="preserve"> out the strengths and limitations of </w:t>
            </w:r>
            <w:r w:rsidRPr="002B2060">
              <w:rPr>
                <w:rFonts w:asciiTheme="minorHAnsi" w:hAnsiTheme="minorHAnsi"/>
                <w:sz w:val="18"/>
                <w:szCs w:val="18"/>
              </w:rPr>
              <w:t>claims and counterclaims that anticipate</w:t>
            </w:r>
            <w:r w:rsidR="00C70897" w:rsidRPr="002B2060">
              <w:rPr>
                <w:rFonts w:asciiTheme="minorHAnsi" w:hAnsiTheme="minorHAnsi"/>
                <w:sz w:val="18"/>
                <w:szCs w:val="18"/>
              </w:rPr>
              <w:t xml:space="preserve"> the audience</w:t>
            </w:r>
            <w:r w:rsidR="009213E7" w:rsidRPr="002B2060">
              <w:rPr>
                <w:rFonts w:asciiTheme="minorHAnsi" w:hAnsiTheme="minorHAnsi"/>
                <w:sz w:val="18"/>
                <w:szCs w:val="18"/>
              </w:rPr>
              <w:t>’s knowledge level and concerns</w:t>
            </w:r>
            <w:r w:rsidR="002559AD" w:rsidRPr="002B206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</w:tcPr>
          <w:p w:rsidR="003E2F3E" w:rsidRDefault="00566689" w:rsidP="003E2F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897">
              <w:rPr>
                <w:rFonts w:asciiTheme="minorHAnsi" w:hAnsiTheme="minorHAnsi"/>
                <w:sz w:val="20"/>
                <w:szCs w:val="20"/>
              </w:rPr>
              <w:t>Develop</w:t>
            </w:r>
            <w:r w:rsidR="002559AD">
              <w:rPr>
                <w:rFonts w:asciiTheme="minorHAnsi" w:hAnsiTheme="minorHAnsi"/>
                <w:sz w:val="20"/>
                <w:szCs w:val="20"/>
              </w:rPr>
              <w:t>s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E4D3D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>claim and counterclaims fairly</w:t>
            </w:r>
          </w:p>
          <w:p w:rsidR="003E2F3E" w:rsidRDefault="003E2F3E" w:rsidP="003E2F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Suppl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es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 xml:space="preserve"> evidence for each </w:t>
            </w:r>
          </w:p>
          <w:p w:rsidR="00B50F7E" w:rsidRPr="00C70897" w:rsidRDefault="003E2F3E" w:rsidP="003E2F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Points 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 xml:space="preserve">out the strengths and limitations of </w:t>
            </w:r>
            <w:r>
              <w:rPr>
                <w:rFonts w:asciiTheme="minorHAnsi" w:hAnsiTheme="minorHAnsi"/>
                <w:sz w:val="20"/>
                <w:szCs w:val="20"/>
              </w:rPr>
              <w:t>claims and counterclaims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that anticipate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 xml:space="preserve"> the audience’</w:t>
            </w:r>
            <w:r w:rsidR="009213E7">
              <w:rPr>
                <w:rFonts w:asciiTheme="minorHAnsi" w:hAnsiTheme="minorHAnsi"/>
                <w:sz w:val="20"/>
                <w:szCs w:val="20"/>
              </w:rPr>
              <w:t>s knowledge level and concerns</w:t>
            </w:r>
          </w:p>
        </w:tc>
        <w:tc>
          <w:tcPr>
            <w:tcW w:w="3690" w:type="dxa"/>
          </w:tcPr>
          <w:p w:rsidR="00052536" w:rsidRDefault="006276B4" w:rsidP="000525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ttempts to 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>evelop claim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bookmarkStart w:id="0" w:name="_GoBack"/>
            <w:bookmarkEnd w:id="0"/>
            <w:r w:rsidR="002559AD" w:rsidRPr="000525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213E7">
              <w:rPr>
                <w:rFonts w:asciiTheme="minorHAnsi" w:hAnsiTheme="minorHAnsi"/>
                <w:sz w:val="20"/>
                <w:szCs w:val="20"/>
              </w:rPr>
              <w:t>acknowledge counterclaim</w:t>
            </w:r>
            <w:r w:rsidR="002559AD" w:rsidRPr="0005253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52536" w:rsidRDefault="002559AD" w:rsidP="000525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052536">
              <w:rPr>
                <w:rFonts w:asciiTheme="minorHAnsi" w:hAnsiTheme="minorHAnsi"/>
                <w:sz w:val="20"/>
                <w:szCs w:val="20"/>
              </w:rPr>
              <w:t>E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>vidence for each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 xml:space="preserve"> may be somewhat confusing or underdeveloped </w:t>
            </w:r>
          </w:p>
          <w:p w:rsidR="00B50F7E" w:rsidRPr="00052536" w:rsidRDefault="00776560" w:rsidP="000525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Attempts to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 xml:space="preserve"> anticipate the audience</w:t>
            </w:r>
            <w:r w:rsidR="009213E7">
              <w:rPr>
                <w:rFonts w:asciiTheme="minorHAnsi" w:hAnsiTheme="minorHAnsi"/>
                <w:sz w:val="20"/>
                <w:szCs w:val="20"/>
              </w:rPr>
              <w:t>’s knowledge level and concerns</w:t>
            </w:r>
          </w:p>
        </w:tc>
        <w:tc>
          <w:tcPr>
            <w:tcW w:w="3510" w:type="dxa"/>
          </w:tcPr>
          <w:p w:rsidR="00052536" w:rsidRDefault="002559AD" w:rsidP="000525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 develop a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claim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counterclaims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are not acknowledged </w:t>
            </w:r>
          </w:p>
          <w:p w:rsidR="00052536" w:rsidRDefault="002559AD" w:rsidP="000525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>vidence</w:t>
            </w:r>
            <w:r w:rsidR="009213E7">
              <w:rPr>
                <w:rFonts w:asciiTheme="minorHAnsi" w:hAnsiTheme="minorHAnsi"/>
                <w:sz w:val="20"/>
                <w:szCs w:val="20"/>
              </w:rPr>
              <w:t xml:space="preserve"> is unreliable, </w:t>
            </w:r>
            <w:r>
              <w:rPr>
                <w:rFonts w:asciiTheme="minorHAnsi" w:hAnsiTheme="minorHAnsi"/>
                <w:sz w:val="20"/>
                <w:szCs w:val="20"/>
              </w:rPr>
              <w:t>irrelevant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213E7">
              <w:rPr>
                <w:rFonts w:asciiTheme="minorHAnsi" w:hAnsiTheme="minorHAnsi"/>
                <w:sz w:val="20"/>
                <w:szCs w:val="20"/>
              </w:rPr>
              <w:t>or may not be present</w:t>
            </w:r>
          </w:p>
          <w:p w:rsidR="00B50F7E" w:rsidRPr="00C70897" w:rsidRDefault="00052536" w:rsidP="000525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2559AD">
              <w:rPr>
                <w:rFonts w:asciiTheme="minorHAnsi" w:hAnsiTheme="minorHAnsi"/>
                <w:sz w:val="20"/>
                <w:szCs w:val="20"/>
              </w:rPr>
              <w:t>oes not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anticipate the audience</w:t>
            </w:r>
            <w:r w:rsidR="009213E7">
              <w:rPr>
                <w:rFonts w:asciiTheme="minorHAnsi" w:hAnsiTheme="minorHAnsi"/>
                <w:sz w:val="20"/>
                <w:szCs w:val="20"/>
              </w:rPr>
              <w:t>’s knowledge level and concerns</w:t>
            </w:r>
          </w:p>
        </w:tc>
        <w:tc>
          <w:tcPr>
            <w:tcW w:w="360" w:type="dxa"/>
            <w:vMerge/>
          </w:tcPr>
          <w:p w:rsidR="00B50F7E" w:rsidRPr="008861E9" w:rsidRDefault="00B50F7E" w:rsidP="00DB01AB">
            <w:pPr>
              <w:pStyle w:val="ListParagraph"/>
              <w:ind w:left="72" w:firstLine="9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2B2060">
        <w:trPr>
          <w:trHeight w:val="1088"/>
        </w:trPr>
        <w:tc>
          <w:tcPr>
            <w:tcW w:w="360" w:type="dxa"/>
          </w:tcPr>
          <w:p w:rsidR="00B50F7E" w:rsidRPr="002B2060" w:rsidRDefault="00B50F7E" w:rsidP="00B50F7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50F7E" w:rsidRPr="002B2060" w:rsidRDefault="00B50F7E" w:rsidP="00B50F7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50F7E" w:rsidRPr="002B2060" w:rsidRDefault="00B50F7E" w:rsidP="00C552BD">
            <w:pPr>
              <w:rPr>
                <w:rFonts w:asciiTheme="minorHAnsi" w:hAnsiTheme="minorHAnsi"/>
                <w:sz w:val="18"/>
                <w:szCs w:val="18"/>
              </w:rPr>
            </w:pPr>
            <w:r w:rsidRPr="002B2060">
              <w:rPr>
                <w:rFonts w:asciiTheme="minorHAnsi" w:hAnsiTheme="minorHAnsi"/>
                <w:sz w:val="18"/>
                <w:szCs w:val="18"/>
              </w:rPr>
              <w:t>W.</w:t>
            </w:r>
            <w:r w:rsidR="00566689" w:rsidRPr="002B2060">
              <w:rPr>
                <w:rFonts w:asciiTheme="minorHAnsi" w:hAnsiTheme="minorHAnsi"/>
                <w:sz w:val="18"/>
                <w:szCs w:val="18"/>
              </w:rPr>
              <w:t>1</w:t>
            </w:r>
            <w:r w:rsidR="002A5D2A" w:rsidRPr="002B2060">
              <w:rPr>
                <w:rFonts w:asciiTheme="minorHAnsi" w:hAnsiTheme="minorHAnsi"/>
                <w:sz w:val="18"/>
                <w:szCs w:val="18"/>
              </w:rPr>
              <w:t>.</w:t>
            </w:r>
            <w:r w:rsidRPr="002B2060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3E2F3E" w:rsidRPr="002B2060" w:rsidRDefault="002559AD" w:rsidP="003E2F3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060">
              <w:rPr>
                <w:rFonts w:asciiTheme="minorHAnsi" w:hAnsiTheme="minorHAnsi"/>
                <w:sz w:val="18"/>
                <w:szCs w:val="18"/>
              </w:rPr>
              <w:t>Strategically u</w:t>
            </w:r>
            <w:r w:rsidR="00C70897" w:rsidRPr="002B2060">
              <w:rPr>
                <w:rFonts w:asciiTheme="minorHAnsi" w:hAnsiTheme="minorHAnsi"/>
                <w:sz w:val="18"/>
                <w:szCs w:val="18"/>
              </w:rPr>
              <w:t>se</w:t>
            </w:r>
            <w:r w:rsidRPr="002B2060">
              <w:rPr>
                <w:rFonts w:asciiTheme="minorHAnsi" w:hAnsiTheme="minorHAnsi"/>
                <w:sz w:val="18"/>
                <w:szCs w:val="18"/>
              </w:rPr>
              <w:t>s</w:t>
            </w:r>
            <w:r w:rsidR="00C70897" w:rsidRPr="002B2060">
              <w:rPr>
                <w:rFonts w:asciiTheme="minorHAnsi" w:hAnsiTheme="minorHAnsi"/>
                <w:sz w:val="18"/>
                <w:szCs w:val="18"/>
              </w:rPr>
              <w:t xml:space="preserve"> words, phrases, and clauses to link the major sections of the text, create cohesion, and clarify the relationships between </w:t>
            </w:r>
            <w:r w:rsidR="00FE4D3D" w:rsidRPr="002B2060">
              <w:rPr>
                <w:rFonts w:asciiTheme="minorHAnsi" w:hAnsiTheme="minorHAnsi"/>
                <w:sz w:val="18"/>
                <w:szCs w:val="18"/>
              </w:rPr>
              <w:t xml:space="preserve">the </w:t>
            </w:r>
            <w:r w:rsidR="00C70897" w:rsidRPr="002B2060">
              <w:rPr>
                <w:rFonts w:asciiTheme="minorHAnsi" w:hAnsiTheme="minorHAnsi"/>
                <w:sz w:val="18"/>
                <w:szCs w:val="18"/>
              </w:rPr>
              <w:t xml:space="preserve">claim and reasons, between reasons and evidence, and between </w:t>
            </w:r>
            <w:r w:rsidR="00FE4D3D" w:rsidRPr="002B2060">
              <w:rPr>
                <w:rFonts w:asciiTheme="minorHAnsi" w:hAnsiTheme="minorHAnsi"/>
                <w:sz w:val="18"/>
                <w:szCs w:val="18"/>
              </w:rPr>
              <w:t xml:space="preserve">the </w:t>
            </w:r>
            <w:r w:rsidR="00C70897" w:rsidRPr="002B2060">
              <w:rPr>
                <w:rFonts w:asciiTheme="minorHAnsi" w:hAnsiTheme="minorHAnsi"/>
                <w:sz w:val="18"/>
                <w:szCs w:val="18"/>
              </w:rPr>
              <w:t>claim and counterclaims</w:t>
            </w:r>
            <w:r w:rsidRPr="002B206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B50F7E" w:rsidRPr="002B2060" w:rsidRDefault="00B50F7E" w:rsidP="00052536">
            <w:pPr>
              <w:pStyle w:val="ListParagraph"/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0" w:type="dxa"/>
          </w:tcPr>
          <w:p w:rsidR="00B50F7E" w:rsidRPr="003E2F3E" w:rsidRDefault="00250945" w:rsidP="009213E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3E2F3E">
              <w:rPr>
                <w:rFonts w:asciiTheme="minorHAnsi" w:hAnsiTheme="minorHAnsi"/>
                <w:sz w:val="20"/>
                <w:szCs w:val="20"/>
              </w:rPr>
              <w:t>Use</w:t>
            </w:r>
            <w:r w:rsidR="003513FC" w:rsidRPr="003E2F3E">
              <w:rPr>
                <w:rFonts w:asciiTheme="minorHAnsi" w:hAnsiTheme="minorHAnsi"/>
                <w:sz w:val="20"/>
                <w:szCs w:val="20"/>
              </w:rPr>
              <w:t>s</w:t>
            </w:r>
            <w:r w:rsidRPr="003E2F3E">
              <w:rPr>
                <w:rFonts w:asciiTheme="minorHAnsi" w:hAnsiTheme="minorHAnsi"/>
                <w:sz w:val="20"/>
                <w:szCs w:val="20"/>
              </w:rPr>
              <w:t xml:space="preserve"> words, phrases, and </w:t>
            </w:r>
            <w:r w:rsidR="00566689" w:rsidRPr="003E2F3E">
              <w:rPr>
                <w:rFonts w:asciiTheme="minorHAnsi" w:hAnsiTheme="minorHAnsi"/>
                <w:sz w:val="20"/>
                <w:szCs w:val="20"/>
              </w:rPr>
              <w:t>clauses to link the major sectio</w:t>
            </w:r>
            <w:r w:rsidR="00C70897" w:rsidRPr="003E2F3E">
              <w:rPr>
                <w:rFonts w:asciiTheme="minorHAnsi" w:hAnsiTheme="minorHAnsi"/>
                <w:sz w:val="20"/>
                <w:szCs w:val="20"/>
              </w:rPr>
              <w:t>ns of the text, create cohesion, and clarify the relation</w:t>
            </w:r>
            <w:r w:rsidR="00566689" w:rsidRPr="003E2F3E">
              <w:rPr>
                <w:rFonts w:asciiTheme="minorHAnsi" w:hAnsiTheme="minorHAnsi"/>
                <w:sz w:val="20"/>
                <w:szCs w:val="20"/>
              </w:rPr>
              <w:t>s</w:t>
            </w:r>
            <w:r w:rsidR="00C70897" w:rsidRPr="003E2F3E">
              <w:rPr>
                <w:rFonts w:asciiTheme="minorHAnsi" w:hAnsiTheme="minorHAnsi"/>
                <w:sz w:val="20"/>
                <w:szCs w:val="20"/>
              </w:rPr>
              <w:t>h</w:t>
            </w:r>
            <w:r w:rsidR="00566689" w:rsidRPr="003E2F3E">
              <w:rPr>
                <w:rFonts w:asciiTheme="minorHAnsi" w:hAnsiTheme="minorHAnsi"/>
                <w:sz w:val="20"/>
                <w:szCs w:val="20"/>
              </w:rPr>
              <w:t xml:space="preserve">ips between </w:t>
            </w:r>
            <w:r w:rsidR="00FE4D3D" w:rsidRPr="003E2F3E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566689" w:rsidRPr="003E2F3E">
              <w:rPr>
                <w:rFonts w:asciiTheme="minorHAnsi" w:hAnsiTheme="minorHAnsi"/>
                <w:sz w:val="20"/>
                <w:szCs w:val="20"/>
              </w:rPr>
              <w:t>claim and re</w:t>
            </w:r>
            <w:r w:rsidR="00C70897" w:rsidRPr="003E2F3E">
              <w:rPr>
                <w:rFonts w:asciiTheme="minorHAnsi" w:hAnsiTheme="minorHAnsi"/>
                <w:sz w:val="20"/>
                <w:szCs w:val="20"/>
              </w:rPr>
              <w:t>a</w:t>
            </w:r>
            <w:r w:rsidR="00566689" w:rsidRPr="003E2F3E">
              <w:rPr>
                <w:rFonts w:asciiTheme="minorHAnsi" w:hAnsiTheme="minorHAnsi"/>
                <w:sz w:val="20"/>
                <w:szCs w:val="20"/>
              </w:rPr>
              <w:t>sons, between reasons an</w:t>
            </w:r>
            <w:r w:rsidR="003513FC" w:rsidRPr="003E2F3E">
              <w:rPr>
                <w:rFonts w:asciiTheme="minorHAnsi" w:hAnsiTheme="minorHAnsi"/>
                <w:sz w:val="20"/>
                <w:szCs w:val="20"/>
              </w:rPr>
              <w:t>d evidence, and between</w:t>
            </w:r>
            <w:r w:rsidR="00FE4D3D" w:rsidRPr="003E2F3E"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3513FC" w:rsidRPr="003E2F3E">
              <w:rPr>
                <w:rFonts w:asciiTheme="minorHAnsi" w:hAnsiTheme="minorHAnsi"/>
                <w:sz w:val="20"/>
                <w:szCs w:val="20"/>
              </w:rPr>
              <w:t xml:space="preserve"> claim</w:t>
            </w:r>
            <w:r w:rsidR="00566689" w:rsidRPr="003E2F3E">
              <w:rPr>
                <w:rFonts w:asciiTheme="minorHAnsi" w:hAnsiTheme="minorHAnsi"/>
                <w:sz w:val="20"/>
                <w:szCs w:val="20"/>
              </w:rPr>
              <w:t xml:space="preserve"> and counterclaims </w:t>
            </w:r>
          </w:p>
        </w:tc>
        <w:tc>
          <w:tcPr>
            <w:tcW w:w="3690" w:type="dxa"/>
          </w:tcPr>
          <w:p w:rsidR="00B50F7E" w:rsidRPr="00052536" w:rsidRDefault="00C70897" w:rsidP="006D5B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052536">
              <w:rPr>
                <w:rFonts w:asciiTheme="minorHAnsi" w:hAnsiTheme="minorHAnsi"/>
                <w:sz w:val="20"/>
                <w:szCs w:val="20"/>
              </w:rPr>
              <w:t>Use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>s few</w:t>
            </w:r>
            <w:r w:rsidR="00FE4D3D" w:rsidRPr="00052536">
              <w:rPr>
                <w:rFonts w:asciiTheme="minorHAnsi" w:hAnsiTheme="minorHAnsi"/>
                <w:sz w:val="20"/>
                <w:szCs w:val="20"/>
              </w:rPr>
              <w:t xml:space="preserve"> words, phrases, or 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>clauses to link the major sections of the text, create cohesion, and clarify the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 relationships between </w:t>
            </w:r>
            <w:r w:rsidR="00FE4D3D" w:rsidRPr="00052536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claim 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>and reasons, between reasons an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d evidence, and between </w:t>
            </w:r>
            <w:r w:rsidR="00FE4D3D" w:rsidRPr="00052536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>claim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 xml:space="preserve"> and counterclaims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:rsidR="00B50F7E" w:rsidRPr="00052536" w:rsidRDefault="00FE4D3D" w:rsidP="0005253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052536">
              <w:rPr>
                <w:rFonts w:asciiTheme="minorHAnsi" w:hAnsiTheme="minorHAnsi"/>
                <w:sz w:val="20"/>
                <w:szCs w:val="20"/>
              </w:rPr>
              <w:t>Does not u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>se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 xml:space="preserve"> words, phrases, or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 xml:space="preserve"> clauses to link the major sections of the text, create cohesion, and clarify th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e relationships between 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>the claim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 xml:space="preserve"> and reasons, between reasons an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>d evidence, and between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 claim</w:t>
            </w:r>
            <w:r w:rsidR="009213E7">
              <w:rPr>
                <w:rFonts w:asciiTheme="minorHAnsi" w:hAnsiTheme="minorHAnsi"/>
                <w:sz w:val="20"/>
                <w:szCs w:val="20"/>
              </w:rPr>
              <w:t xml:space="preserve"> and counterclaims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vMerge/>
          </w:tcPr>
          <w:p w:rsidR="00B50F7E" w:rsidRPr="008861E9" w:rsidRDefault="00B50F7E" w:rsidP="00DB01AB">
            <w:pPr>
              <w:pStyle w:val="ListParagraph"/>
              <w:ind w:left="72" w:firstLine="9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2B2060">
        <w:trPr>
          <w:trHeight w:val="272"/>
        </w:trPr>
        <w:tc>
          <w:tcPr>
            <w:tcW w:w="360" w:type="dxa"/>
          </w:tcPr>
          <w:p w:rsidR="00B50F7E" w:rsidRPr="002B2060" w:rsidRDefault="00B50F7E" w:rsidP="008C4454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8C4454" w:rsidRPr="002B2060" w:rsidRDefault="008C4454" w:rsidP="00C552BD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2B2060">
              <w:rPr>
                <w:rFonts w:asciiTheme="minorHAnsi" w:hAnsiTheme="minorHAnsi"/>
                <w:sz w:val="18"/>
                <w:szCs w:val="18"/>
              </w:rPr>
              <w:t>W.</w:t>
            </w:r>
            <w:r w:rsidR="00566689" w:rsidRPr="002B2060">
              <w:rPr>
                <w:rFonts w:asciiTheme="minorHAnsi" w:hAnsiTheme="minorHAnsi"/>
                <w:sz w:val="18"/>
                <w:szCs w:val="18"/>
              </w:rPr>
              <w:t>1</w:t>
            </w:r>
            <w:r w:rsidR="002A5D2A" w:rsidRPr="002B2060">
              <w:rPr>
                <w:rFonts w:asciiTheme="minorHAnsi" w:hAnsiTheme="minorHAnsi"/>
                <w:sz w:val="18"/>
                <w:szCs w:val="18"/>
              </w:rPr>
              <w:t>.</w:t>
            </w:r>
            <w:r w:rsidR="00E55FB6" w:rsidRPr="002B2060">
              <w:rPr>
                <w:rFonts w:asciiTheme="minorHAnsi" w:hAnsiTheme="minorHAnsi"/>
                <w:sz w:val="18"/>
                <w:szCs w:val="18"/>
              </w:rPr>
              <w:t>d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2B2060" w:rsidRDefault="00C70897" w:rsidP="003E2F3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060">
              <w:rPr>
                <w:rFonts w:asciiTheme="minorHAnsi" w:hAnsiTheme="minorHAnsi"/>
                <w:sz w:val="18"/>
                <w:szCs w:val="18"/>
              </w:rPr>
              <w:t>Establish</w:t>
            </w:r>
            <w:r w:rsidR="003513FC" w:rsidRPr="002B2060">
              <w:rPr>
                <w:rFonts w:asciiTheme="minorHAnsi" w:hAnsiTheme="minorHAnsi"/>
                <w:sz w:val="18"/>
                <w:szCs w:val="18"/>
              </w:rPr>
              <w:t>es</w:t>
            </w:r>
            <w:r w:rsidRPr="002B2060">
              <w:rPr>
                <w:rFonts w:asciiTheme="minorHAnsi" w:hAnsiTheme="minorHAnsi"/>
                <w:sz w:val="18"/>
                <w:szCs w:val="18"/>
              </w:rPr>
              <w:t xml:space="preserve"> and</w:t>
            </w:r>
            <w:r w:rsidR="003513FC" w:rsidRPr="002B2060">
              <w:rPr>
                <w:rFonts w:asciiTheme="minorHAnsi" w:hAnsiTheme="minorHAnsi"/>
                <w:sz w:val="18"/>
                <w:szCs w:val="18"/>
              </w:rPr>
              <w:t xml:space="preserve"> consistently</w:t>
            </w:r>
            <w:r w:rsidRPr="002B2060">
              <w:rPr>
                <w:rFonts w:asciiTheme="minorHAnsi" w:hAnsiTheme="minorHAnsi"/>
                <w:sz w:val="18"/>
                <w:szCs w:val="18"/>
              </w:rPr>
              <w:t xml:space="preserve"> maintain</w:t>
            </w:r>
            <w:r w:rsidR="003513FC" w:rsidRPr="002B2060">
              <w:rPr>
                <w:rFonts w:asciiTheme="minorHAnsi" w:hAnsiTheme="minorHAnsi"/>
                <w:sz w:val="18"/>
                <w:szCs w:val="18"/>
              </w:rPr>
              <w:t>s</w:t>
            </w:r>
            <w:r w:rsidRPr="002B2060">
              <w:rPr>
                <w:rFonts w:asciiTheme="minorHAnsi" w:hAnsiTheme="minorHAnsi"/>
                <w:sz w:val="18"/>
                <w:szCs w:val="18"/>
              </w:rPr>
              <w:t xml:space="preserve"> a formal style and objective tone while </w:t>
            </w:r>
            <w:r w:rsidR="003513FC" w:rsidRPr="002B2060">
              <w:rPr>
                <w:rFonts w:asciiTheme="minorHAnsi" w:hAnsiTheme="minorHAnsi"/>
                <w:sz w:val="18"/>
                <w:szCs w:val="18"/>
              </w:rPr>
              <w:t xml:space="preserve">insightfully </w:t>
            </w:r>
            <w:r w:rsidRPr="002B2060">
              <w:rPr>
                <w:rFonts w:asciiTheme="minorHAnsi" w:hAnsiTheme="minorHAnsi"/>
                <w:sz w:val="18"/>
                <w:szCs w:val="18"/>
              </w:rPr>
              <w:t xml:space="preserve">attending to the norms and conventions of the </w:t>
            </w:r>
            <w:r w:rsidR="009213E7" w:rsidRPr="002B2060">
              <w:rPr>
                <w:rFonts w:asciiTheme="minorHAnsi" w:hAnsiTheme="minorHAnsi"/>
                <w:sz w:val="18"/>
                <w:szCs w:val="18"/>
              </w:rPr>
              <w:t>task</w:t>
            </w:r>
            <w:r w:rsidR="003513FC" w:rsidRPr="002B206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</w:tcPr>
          <w:p w:rsidR="00B50F7E" w:rsidRPr="00C70897" w:rsidRDefault="00C70897" w:rsidP="009213E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897">
              <w:rPr>
                <w:rFonts w:asciiTheme="minorHAnsi" w:hAnsiTheme="minorHAnsi"/>
                <w:sz w:val="20"/>
                <w:szCs w:val="20"/>
              </w:rPr>
              <w:t>Establish</w:t>
            </w:r>
            <w:r w:rsidR="003513FC">
              <w:rPr>
                <w:rFonts w:asciiTheme="minorHAnsi" w:hAnsiTheme="minorHAnsi"/>
                <w:sz w:val="20"/>
                <w:szCs w:val="20"/>
              </w:rPr>
              <w:t>es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 xml:space="preserve"> and maintain</w:t>
            </w:r>
            <w:r w:rsidR="003513FC">
              <w:rPr>
                <w:rFonts w:asciiTheme="minorHAnsi" w:hAnsiTheme="minorHAnsi"/>
                <w:sz w:val="20"/>
                <w:szCs w:val="20"/>
              </w:rPr>
              <w:t>s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 xml:space="preserve"> a formal style and objective tone while attending to the norms and conventions of the </w:t>
            </w:r>
            <w:r w:rsidR="003513FC">
              <w:rPr>
                <w:rFonts w:asciiTheme="minorHAnsi" w:hAnsiTheme="minorHAnsi"/>
                <w:sz w:val="20"/>
                <w:szCs w:val="20"/>
              </w:rPr>
              <w:t>task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:rsidR="00B50F7E" w:rsidRPr="00052536" w:rsidRDefault="00776560" w:rsidP="009213E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Attempts to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 e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 xml:space="preserve">stablish 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or </w:t>
            </w:r>
            <w:r w:rsidR="009213E7">
              <w:rPr>
                <w:rFonts w:asciiTheme="minorHAnsi" w:hAnsiTheme="minorHAnsi"/>
                <w:sz w:val="20"/>
                <w:szCs w:val="20"/>
              </w:rPr>
              <w:t>maintain a formal style and/or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 xml:space="preserve"> objective tone while attending to the norms and conventions of the 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>task</w:t>
            </w:r>
          </w:p>
        </w:tc>
        <w:tc>
          <w:tcPr>
            <w:tcW w:w="3510" w:type="dxa"/>
          </w:tcPr>
          <w:p w:rsidR="00B50F7E" w:rsidRPr="00C70897" w:rsidRDefault="003513FC" w:rsidP="009213E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formal style and objective tone </w:t>
            </w:r>
            <w:r>
              <w:rPr>
                <w:rFonts w:asciiTheme="minorHAnsi" w:hAnsiTheme="minorHAnsi"/>
                <w:sz w:val="20"/>
                <w:szCs w:val="20"/>
              </w:rPr>
              <w:t>are not established</w:t>
            </w:r>
            <w:r w:rsidR="00FE4D3D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Does not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attend to the norms and conventions of the </w:t>
            </w:r>
            <w:r>
              <w:rPr>
                <w:rFonts w:asciiTheme="minorHAnsi" w:hAnsiTheme="minorHAnsi"/>
                <w:sz w:val="20"/>
                <w:szCs w:val="20"/>
              </w:rPr>
              <w:t>task</w:t>
            </w:r>
          </w:p>
        </w:tc>
        <w:tc>
          <w:tcPr>
            <w:tcW w:w="360" w:type="dxa"/>
            <w:vMerge/>
          </w:tcPr>
          <w:p w:rsidR="00B50F7E" w:rsidRPr="008861E9" w:rsidRDefault="00B50F7E" w:rsidP="00DB01AB">
            <w:pPr>
              <w:pStyle w:val="ListParagraph"/>
              <w:ind w:left="72" w:firstLine="90"/>
              <w:rPr>
                <w:rFonts w:ascii="Cambria" w:hAnsi="Cambria"/>
                <w:sz w:val="18"/>
                <w:szCs w:val="18"/>
              </w:rPr>
            </w:pPr>
          </w:p>
        </w:tc>
      </w:tr>
      <w:tr w:rsidR="00E405A8" w:rsidRPr="008861E9" w:rsidTr="002B2060">
        <w:trPr>
          <w:trHeight w:val="272"/>
        </w:trPr>
        <w:tc>
          <w:tcPr>
            <w:tcW w:w="360" w:type="dxa"/>
          </w:tcPr>
          <w:p w:rsidR="00E405A8" w:rsidRPr="002B2060" w:rsidRDefault="00566689" w:rsidP="008C4454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2B2060">
              <w:rPr>
                <w:rFonts w:asciiTheme="minorHAnsi" w:hAnsiTheme="minorHAnsi"/>
                <w:sz w:val="18"/>
                <w:szCs w:val="18"/>
              </w:rPr>
              <w:t>W.1</w:t>
            </w:r>
            <w:r w:rsidR="00E405A8" w:rsidRPr="002B2060">
              <w:rPr>
                <w:rFonts w:asciiTheme="minorHAnsi" w:hAnsiTheme="minorHAnsi"/>
                <w:sz w:val="18"/>
                <w:szCs w:val="18"/>
              </w:rPr>
              <w:t>.e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E405A8" w:rsidRPr="002B2060" w:rsidRDefault="003513FC" w:rsidP="003E2F3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B2060">
              <w:rPr>
                <w:rFonts w:asciiTheme="minorHAnsi" w:hAnsiTheme="minorHAnsi"/>
                <w:sz w:val="18"/>
                <w:szCs w:val="18"/>
              </w:rPr>
              <w:t xml:space="preserve">Provides an effective </w:t>
            </w:r>
            <w:r w:rsidR="00C70897" w:rsidRPr="002B2060">
              <w:rPr>
                <w:rFonts w:asciiTheme="minorHAnsi" w:hAnsiTheme="minorHAnsi"/>
                <w:sz w:val="18"/>
                <w:szCs w:val="18"/>
              </w:rPr>
              <w:t xml:space="preserve">concluding statement or section that </w:t>
            </w:r>
            <w:r w:rsidRPr="002B2060">
              <w:rPr>
                <w:rFonts w:asciiTheme="minorHAnsi" w:hAnsiTheme="minorHAnsi"/>
                <w:sz w:val="18"/>
                <w:szCs w:val="18"/>
              </w:rPr>
              <w:t xml:space="preserve">clearly </w:t>
            </w:r>
            <w:r w:rsidR="00C70897" w:rsidRPr="002B2060">
              <w:rPr>
                <w:rFonts w:asciiTheme="minorHAnsi" w:hAnsiTheme="minorHAnsi"/>
                <w:sz w:val="18"/>
                <w:szCs w:val="18"/>
              </w:rPr>
              <w:t xml:space="preserve">follows from and </w:t>
            </w:r>
            <w:r w:rsidR="009213E7" w:rsidRPr="002B2060">
              <w:rPr>
                <w:rFonts w:asciiTheme="minorHAnsi" w:hAnsiTheme="minorHAnsi"/>
                <w:sz w:val="18"/>
                <w:szCs w:val="18"/>
              </w:rPr>
              <w:t>supports the argument presented</w:t>
            </w:r>
          </w:p>
        </w:tc>
        <w:tc>
          <w:tcPr>
            <w:tcW w:w="3420" w:type="dxa"/>
          </w:tcPr>
          <w:p w:rsidR="00E405A8" w:rsidRPr="00C70897" w:rsidRDefault="00C70897" w:rsidP="003E2F3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897">
              <w:rPr>
                <w:rFonts w:asciiTheme="minorHAnsi" w:hAnsiTheme="minorHAnsi"/>
                <w:sz w:val="20"/>
                <w:szCs w:val="20"/>
              </w:rPr>
              <w:t xml:space="preserve">Provides a concluding statement or section that follows from and </w:t>
            </w:r>
            <w:r w:rsidR="009213E7">
              <w:rPr>
                <w:rFonts w:asciiTheme="minorHAnsi" w:hAnsiTheme="minorHAnsi"/>
                <w:sz w:val="20"/>
                <w:szCs w:val="20"/>
              </w:rPr>
              <w:t>supports the argument presented</w:t>
            </w:r>
          </w:p>
        </w:tc>
        <w:tc>
          <w:tcPr>
            <w:tcW w:w="3690" w:type="dxa"/>
          </w:tcPr>
          <w:p w:rsidR="00E405A8" w:rsidRPr="00052536" w:rsidRDefault="00C70897" w:rsidP="0077656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052536">
              <w:rPr>
                <w:rFonts w:asciiTheme="minorHAnsi" w:hAnsiTheme="minorHAnsi"/>
                <w:sz w:val="20"/>
                <w:szCs w:val="20"/>
              </w:rPr>
              <w:t>Provides a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 weak or confusing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 xml:space="preserve"> concluding statement</w:t>
            </w:r>
            <w:r w:rsidR="000525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 xml:space="preserve">or section that </w:t>
            </w:r>
            <w:r w:rsidR="00776560">
              <w:rPr>
                <w:rFonts w:asciiTheme="minorHAnsi" w:hAnsiTheme="minorHAnsi"/>
                <w:sz w:val="20"/>
                <w:szCs w:val="20"/>
              </w:rPr>
              <w:t xml:space="preserve">attempts to 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 xml:space="preserve">follow from and support the argument </w:t>
            </w:r>
          </w:p>
        </w:tc>
        <w:tc>
          <w:tcPr>
            <w:tcW w:w="3510" w:type="dxa"/>
          </w:tcPr>
          <w:p w:rsidR="00E405A8" w:rsidRPr="00C70897" w:rsidRDefault="003513FC" w:rsidP="009213E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Fails to p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>rovide a concluding statement 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 section that follows from or 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>support</w:t>
            </w:r>
            <w:r w:rsidR="00FE4D3D">
              <w:rPr>
                <w:rFonts w:asciiTheme="minorHAnsi" w:hAnsiTheme="minorHAnsi"/>
                <w:sz w:val="20"/>
                <w:szCs w:val="20"/>
              </w:rPr>
              <w:t>s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the argument presented</w:t>
            </w:r>
          </w:p>
        </w:tc>
        <w:tc>
          <w:tcPr>
            <w:tcW w:w="360" w:type="dxa"/>
            <w:vMerge/>
          </w:tcPr>
          <w:p w:rsidR="00E405A8" w:rsidRPr="008861E9" w:rsidRDefault="00E405A8" w:rsidP="00DB01AB">
            <w:pPr>
              <w:pStyle w:val="ListParagraph"/>
              <w:ind w:left="72" w:firstLine="9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4797F" w:rsidTr="002B2060">
        <w:trPr>
          <w:trHeight w:val="413"/>
        </w:trPr>
        <w:tc>
          <w:tcPr>
            <w:tcW w:w="360" w:type="dxa"/>
          </w:tcPr>
          <w:p w:rsidR="00B50F7E" w:rsidRPr="002B2060" w:rsidRDefault="00B50F7E" w:rsidP="00AD71B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310" w:type="dxa"/>
            <w:gridSpan w:val="4"/>
            <w:tcBorders>
              <w:left w:val="single" w:sz="24" w:space="0" w:color="auto"/>
            </w:tcBorders>
            <w:vAlign w:val="center"/>
          </w:tcPr>
          <w:p w:rsidR="00B50F7E" w:rsidRPr="002B2060" w:rsidRDefault="00B50F7E" w:rsidP="002B2060">
            <w:pPr>
              <w:spacing w:line="360" w:lineRule="auto"/>
              <w:ind w:left="72" w:firstLine="8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B2060">
              <w:rPr>
                <w:rFonts w:asciiTheme="minorHAnsi" w:hAnsiTheme="minorHAnsi"/>
                <w:b/>
                <w:sz w:val="20"/>
                <w:szCs w:val="20"/>
              </w:rPr>
              <w:t xml:space="preserve">STUDENT’s HOLISTIC SCORE for the </w:t>
            </w:r>
            <w:r w:rsidR="00DB5991" w:rsidRPr="002B2060">
              <w:rPr>
                <w:rFonts w:asciiTheme="minorHAnsi" w:hAnsiTheme="minorHAnsi"/>
                <w:b/>
                <w:sz w:val="20"/>
                <w:szCs w:val="20"/>
              </w:rPr>
              <w:t>Argument</w:t>
            </w:r>
            <w:r w:rsidRPr="002B2060">
              <w:rPr>
                <w:rFonts w:asciiTheme="minorHAnsi" w:hAnsiTheme="minorHAnsi"/>
                <w:b/>
                <w:sz w:val="20"/>
                <w:szCs w:val="20"/>
              </w:rPr>
              <w:t>, circle one:   4   3   2   1   NS</w:t>
            </w:r>
          </w:p>
        </w:tc>
        <w:tc>
          <w:tcPr>
            <w:tcW w:w="360" w:type="dxa"/>
            <w:vMerge/>
          </w:tcPr>
          <w:p w:rsidR="00B50F7E" w:rsidRPr="0084797F" w:rsidRDefault="00B50F7E" w:rsidP="00DB01AB">
            <w:pPr>
              <w:pStyle w:val="ListParagraph"/>
              <w:ind w:left="72" w:firstLine="90"/>
              <w:rPr>
                <w:rFonts w:ascii="Cambria" w:hAnsi="Cambria"/>
                <w:sz w:val="20"/>
                <w:szCs w:val="20"/>
              </w:rPr>
            </w:pPr>
          </w:p>
        </w:tc>
      </w:tr>
      <w:tr w:rsidR="00197FD3" w:rsidRPr="008861E9" w:rsidTr="002B2060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360" w:type="dxa"/>
          </w:tcPr>
          <w:p w:rsidR="00197FD3" w:rsidRPr="002B2060" w:rsidRDefault="009213E7" w:rsidP="00AD71B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B2060">
              <w:rPr>
                <w:sz w:val="18"/>
                <w:szCs w:val="18"/>
              </w:rPr>
              <w:br w:type="page"/>
            </w:r>
          </w:p>
          <w:p w:rsidR="00197FD3" w:rsidRPr="002B2060" w:rsidRDefault="00197FD3" w:rsidP="00AD71B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97FD3" w:rsidRPr="002B2060" w:rsidRDefault="00197FD3" w:rsidP="00A72329">
            <w:pPr>
              <w:rPr>
                <w:rFonts w:asciiTheme="minorHAnsi" w:hAnsiTheme="minorHAnsi"/>
                <w:sz w:val="18"/>
                <w:szCs w:val="18"/>
              </w:rPr>
            </w:pPr>
            <w:r w:rsidRPr="002B2060">
              <w:rPr>
                <w:rFonts w:asciiTheme="minorHAnsi" w:hAnsiTheme="minorHAnsi"/>
                <w:sz w:val="18"/>
                <w:szCs w:val="18"/>
              </w:rPr>
              <w:t>L</w:t>
            </w:r>
            <w:r w:rsidR="00A72329" w:rsidRPr="002B2060">
              <w:rPr>
                <w:rFonts w:asciiTheme="minorHAnsi" w:hAnsiTheme="minorHAnsi"/>
                <w:sz w:val="18"/>
                <w:szCs w:val="18"/>
              </w:rPr>
              <w:t>.1,2</w:t>
            </w:r>
          </w:p>
          <w:p w:rsidR="00197FD3" w:rsidRPr="002B2060" w:rsidRDefault="00197FD3" w:rsidP="00AD71B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  <w:p w:rsidR="00197FD3" w:rsidRPr="002B2060" w:rsidRDefault="00197FD3" w:rsidP="00AD71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3513FC" w:rsidRDefault="00197FD3" w:rsidP="003E2F3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Demonstrates use of effective and purposeful sentence structures.</w:t>
            </w:r>
          </w:p>
          <w:p w:rsidR="00197FD3" w:rsidRPr="0084797F" w:rsidRDefault="00197FD3" w:rsidP="003E2F3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Skillfully uses punctuation, capitalization, grammar usage, and spelling to enhance meaning.</w:t>
            </w:r>
          </w:p>
        </w:tc>
        <w:tc>
          <w:tcPr>
            <w:tcW w:w="3420" w:type="dxa"/>
          </w:tcPr>
          <w:p w:rsidR="00197FD3" w:rsidRPr="0084797F" w:rsidRDefault="00052536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Utilizes p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>urposeful sentence structures.</w:t>
            </w:r>
          </w:p>
          <w:p w:rsidR="00197FD3" w:rsidRPr="0084797F" w:rsidRDefault="00197FD3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Appropriate</w:t>
            </w:r>
            <w:r w:rsidR="00052536">
              <w:rPr>
                <w:rFonts w:asciiTheme="minorHAnsi" w:hAnsiTheme="minorHAnsi"/>
                <w:sz w:val="20"/>
                <w:szCs w:val="20"/>
              </w:rPr>
              <w:t xml:space="preserve">ly </w:t>
            </w:r>
            <w:r w:rsidRPr="0084797F">
              <w:rPr>
                <w:rFonts w:asciiTheme="minorHAnsi" w:hAnsiTheme="minorHAnsi"/>
                <w:sz w:val="20"/>
                <w:szCs w:val="20"/>
              </w:rPr>
              <w:t>use</w:t>
            </w:r>
            <w:r w:rsidR="00052536">
              <w:rPr>
                <w:rFonts w:asciiTheme="minorHAnsi" w:hAnsiTheme="minorHAnsi"/>
                <w:sz w:val="20"/>
                <w:szCs w:val="20"/>
              </w:rPr>
              <w:t>s</w:t>
            </w:r>
            <w:r w:rsidRPr="0084797F">
              <w:rPr>
                <w:rFonts w:asciiTheme="minorHAnsi" w:hAnsiTheme="minorHAnsi"/>
                <w:sz w:val="20"/>
                <w:szCs w:val="20"/>
              </w:rPr>
              <w:t xml:space="preserve"> punctuation, capitalization, grammar usage, and spelling. Minor errors do not interfere with meaning.</w:t>
            </w:r>
          </w:p>
        </w:tc>
        <w:tc>
          <w:tcPr>
            <w:tcW w:w="3690" w:type="dxa"/>
          </w:tcPr>
          <w:p w:rsidR="00197FD3" w:rsidRPr="0084797F" w:rsidRDefault="00052536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s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>ome weakness in sentence structures.</w:t>
            </w:r>
          </w:p>
          <w:p w:rsidR="00197FD3" w:rsidRPr="0084797F" w:rsidRDefault="00197FD3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Inconsistent</w:t>
            </w:r>
            <w:r w:rsidR="00052536">
              <w:rPr>
                <w:rFonts w:asciiTheme="minorHAnsi" w:hAnsiTheme="minorHAnsi"/>
                <w:sz w:val="20"/>
                <w:szCs w:val="20"/>
              </w:rPr>
              <w:t>ly uses</w:t>
            </w:r>
            <w:r w:rsidRPr="0084797F">
              <w:rPr>
                <w:rFonts w:asciiTheme="minorHAnsi" w:hAnsiTheme="minorHAnsi"/>
                <w:sz w:val="20"/>
                <w:szCs w:val="20"/>
              </w:rPr>
              <w:t xml:space="preserve"> punctuation, capitalization, grammar usage, and spelling. Errors somewhat interfere with meaning.</w:t>
            </w:r>
          </w:p>
        </w:tc>
        <w:tc>
          <w:tcPr>
            <w:tcW w:w="3510" w:type="dxa"/>
          </w:tcPr>
          <w:p w:rsidR="00197FD3" w:rsidRDefault="00052536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Contains w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>eak</w:t>
            </w:r>
            <w:r w:rsidR="002B2060">
              <w:rPr>
                <w:rFonts w:asciiTheme="minorHAnsi" w:hAnsiTheme="minorHAnsi"/>
                <w:sz w:val="20"/>
                <w:szCs w:val="20"/>
              </w:rPr>
              <w:t>/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 xml:space="preserve">confusing sentence structures. </w:t>
            </w:r>
          </w:p>
          <w:p w:rsidR="00197FD3" w:rsidRPr="0084797F" w:rsidRDefault="00052536" w:rsidP="002B206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>unctuation, capitalization, grammar usage, spelling, errors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>interfere with meaning.</w:t>
            </w:r>
          </w:p>
        </w:tc>
        <w:tc>
          <w:tcPr>
            <w:tcW w:w="360" w:type="dxa"/>
          </w:tcPr>
          <w:p w:rsidR="00197FD3" w:rsidRPr="008861E9" w:rsidRDefault="00197FD3" w:rsidP="00DB01AB">
            <w:pPr>
              <w:pStyle w:val="ListParagraph"/>
              <w:ind w:left="72" w:firstLine="9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2B2060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360" w:type="dxa"/>
          </w:tcPr>
          <w:p w:rsidR="003A7D8A" w:rsidRPr="002B2060" w:rsidRDefault="003A7D8A" w:rsidP="00AD71B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310" w:type="dxa"/>
            <w:gridSpan w:val="4"/>
            <w:tcBorders>
              <w:left w:val="single" w:sz="24" w:space="0" w:color="auto"/>
            </w:tcBorders>
            <w:vAlign w:val="center"/>
          </w:tcPr>
          <w:p w:rsidR="003A7D8A" w:rsidRPr="00B50F7E" w:rsidRDefault="003A7D8A" w:rsidP="002B2060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36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AD71BE" w:rsidRDefault="00AD71BE" w:rsidP="00DB5991">
      <w:pPr>
        <w:rPr>
          <w:rFonts w:ascii="Cambria" w:hAnsi="Cambria"/>
          <w:b/>
          <w:sz w:val="18"/>
          <w:szCs w:val="18"/>
        </w:rPr>
      </w:pPr>
    </w:p>
    <w:sectPr w:rsidR="00AD71BE" w:rsidSect="00DB5991">
      <w:head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E7" w:rsidRDefault="009213E7">
      <w:r>
        <w:separator/>
      </w:r>
    </w:p>
  </w:endnote>
  <w:endnote w:type="continuationSeparator" w:id="0">
    <w:p w:rsidR="009213E7" w:rsidRDefault="0092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E7" w:rsidRDefault="009213E7">
      <w:r>
        <w:separator/>
      </w:r>
    </w:p>
  </w:footnote>
  <w:footnote w:type="continuationSeparator" w:id="0">
    <w:p w:rsidR="009213E7" w:rsidRDefault="0092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60" w:rsidRDefault="002B2060" w:rsidP="001879F0">
    <w:pPr>
      <w:jc w:val="center"/>
      <w:rPr>
        <w:rFonts w:ascii="Cambria" w:hAnsi="Cambria"/>
        <w:b/>
      </w:rPr>
    </w:pPr>
  </w:p>
  <w:p w:rsidR="009213E7" w:rsidRPr="002B2060" w:rsidRDefault="009213E7" w:rsidP="001879F0">
    <w:pPr>
      <w:jc w:val="center"/>
      <w:rPr>
        <w:rFonts w:ascii="Cambria" w:hAnsi="Cambria"/>
      </w:rPr>
    </w:pPr>
    <w:r w:rsidRPr="002B2060">
      <w:rPr>
        <w:rFonts w:ascii="Cambria" w:hAnsi="Cambria"/>
        <w:b/>
      </w:rPr>
      <w:t>9/10</w:t>
    </w:r>
    <w:r w:rsidRPr="002B2060">
      <w:rPr>
        <w:rFonts w:ascii="Cambria" w:hAnsi="Cambria"/>
        <w:b/>
        <w:vertAlign w:val="superscript"/>
      </w:rPr>
      <w:t>th</w:t>
    </w:r>
    <w:r w:rsidRPr="002B2060">
      <w:rPr>
        <w:rFonts w:ascii="Cambria" w:hAnsi="Cambria"/>
        <w:b/>
      </w:rPr>
      <w:t xml:space="preserve"> Grade Writing Rubric – Argument Writing</w:t>
    </w:r>
  </w:p>
  <w:p w:rsidR="009213E7" w:rsidRDefault="009213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52F"/>
    <w:multiLevelType w:val="hybridMultilevel"/>
    <w:tmpl w:val="4FD61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F482C"/>
    <w:multiLevelType w:val="hybridMultilevel"/>
    <w:tmpl w:val="58182284"/>
    <w:lvl w:ilvl="0" w:tplc="E3B65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1A502A"/>
    <w:multiLevelType w:val="hybridMultilevel"/>
    <w:tmpl w:val="DB945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F692B"/>
    <w:multiLevelType w:val="hybridMultilevel"/>
    <w:tmpl w:val="8E3C0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E25EDE"/>
    <w:multiLevelType w:val="hybridMultilevel"/>
    <w:tmpl w:val="ACE41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1B60E8"/>
    <w:multiLevelType w:val="hybridMultilevel"/>
    <w:tmpl w:val="65D89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9747F"/>
    <w:multiLevelType w:val="hybridMultilevel"/>
    <w:tmpl w:val="C55A8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9F1B10"/>
    <w:multiLevelType w:val="hybridMultilevel"/>
    <w:tmpl w:val="4DE4B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5"/>
  </w:num>
  <w:num w:numId="10">
    <w:abstractNumId w:val="4"/>
  </w:num>
  <w:num w:numId="11">
    <w:abstractNumId w:val="0"/>
  </w:num>
  <w:num w:numId="12">
    <w:abstractNumId w:val="8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2380E"/>
    <w:rsid w:val="00046208"/>
    <w:rsid w:val="00052536"/>
    <w:rsid w:val="00072ABC"/>
    <w:rsid w:val="000A64E4"/>
    <w:rsid w:val="000E04A2"/>
    <w:rsid w:val="001501DA"/>
    <w:rsid w:val="0017414C"/>
    <w:rsid w:val="0017607B"/>
    <w:rsid w:val="001865C1"/>
    <w:rsid w:val="001879F0"/>
    <w:rsid w:val="00197FD3"/>
    <w:rsid w:val="001B54C0"/>
    <w:rsid w:val="001E584B"/>
    <w:rsid w:val="00215DE8"/>
    <w:rsid w:val="002217CE"/>
    <w:rsid w:val="002336AF"/>
    <w:rsid w:val="00235110"/>
    <w:rsid w:val="00250945"/>
    <w:rsid w:val="002559AD"/>
    <w:rsid w:val="0029547D"/>
    <w:rsid w:val="002955EB"/>
    <w:rsid w:val="002A5D2A"/>
    <w:rsid w:val="002B2060"/>
    <w:rsid w:val="002F01FE"/>
    <w:rsid w:val="002F04A3"/>
    <w:rsid w:val="00342727"/>
    <w:rsid w:val="003513FC"/>
    <w:rsid w:val="0036281B"/>
    <w:rsid w:val="00384C53"/>
    <w:rsid w:val="00387541"/>
    <w:rsid w:val="00387B83"/>
    <w:rsid w:val="00393376"/>
    <w:rsid w:val="003A7D8A"/>
    <w:rsid w:val="003D4A7D"/>
    <w:rsid w:val="003D7DB4"/>
    <w:rsid w:val="003E2F3E"/>
    <w:rsid w:val="003F121D"/>
    <w:rsid w:val="00420CA2"/>
    <w:rsid w:val="00435BBF"/>
    <w:rsid w:val="00455923"/>
    <w:rsid w:val="004607EA"/>
    <w:rsid w:val="004C1266"/>
    <w:rsid w:val="004E7DCA"/>
    <w:rsid w:val="00566689"/>
    <w:rsid w:val="005B5500"/>
    <w:rsid w:val="005C4A64"/>
    <w:rsid w:val="00603F9E"/>
    <w:rsid w:val="006276B4"/>
    <w:rsid w:val="00633186"/>
    <w:rsid w:val="00664921"/>
    <w:rsid w:val="00684D2C"/>
    <w:rsid w:val="00686360"/>
    <w:rsid w:val="006C66D0"/>
    <w:rsid w:val="006D5B58"/>
    <w:rsid w:val="006F5F9E"/>
    <w:rsid w:val="00772676"/>
    <w:rsid w:val="00776560"/>
    <w:rsid w:val="0078032C"/>
    <w:rsid w:val="0078598B"/>
    <w:rsid w:val="00786693"/>
    <w:rsid w:val="00786E25"/>
    <w:rsid w:val="007D1548"/>
    <w:rsid w:val="0084797F"/>
    <w:rsid w:val="00890147"/>
    <w:rsid w:val="008B299F"/>
    <w:rsid w:val="008B447C"/>
    <w:rsid w:val="008C2E92"/>
    <w:rsid w:val="008C4454"/>
    <w:rsid w:val="00916453"/>
    <w:rsid w:val="009213E7"/>
    <w:rsid w:val="009317D6"/>
    <w:rsid w:val="00933CB8"/>
    <w:rsid w:val="009672D4"/>
    <w:rsid w:val="00994E5D"/>
    <w:rsid w:val="009E786D"/>
    <w:rsid w:val="00A14E52"/>
    <w:rsid w:val="00A45524"/>
    <w:rsid w:val="00A72329"/>
    <w:rsid w:val="00A72F76"/>
    <w:rsid w:val="00A813EE"/>
    <w:rsid w:val="00A929ED"/>
    <w:rsid w:val="00AA1D15"/>
    <w:rsid w:val="00AC399E"/>
    <w:rsid w:val="00AD2E1F"/>
    <w:rsid w:val="00AD71BE"/>
    <w:rsid w:val="00AF6ACB"/>
    <w:rsid w:val="00B41EA7"/>
    <w:rsid w:val="00B50F7E"/>
    <w:rsid w:val="00B53715"/>
    <w:rsid w:val="00B921C2"/>
    <w:rsid w:val="00BE6D5A"/>
    <w:rsid w:val="00BF0F66"/>
    <w:rsid w:val="00BF45FF"/>
    <w:rsid w:val="00BF646B"/>
    <w:rsid w:val="00C06464"/>
    <w:rsid w:val="00C210C6"/>
    <w:rsid w:val="00C454C3"/>
    <w:rsid w:val="00C46936"/>
    <w:rsid w:val="00C552BD"/>
    <w:rsid w:val="00C70897"/>
    <w:rsid w:val="00CA295A"/>
    <w:rsid w:val="00CB231E"/>
    <w:rsid w:val="00CF25C8"/>
    <w:rsid w:val="00D206B0"/>
    <w:rsid w:val="00D32C30"/>
    <w:rsid w:val="00D44A19"/>
    <w:rsid w:val="00D46D07"/>
    <w:rsid w:val="00D56C2A"/>
    <w:rsid w:val="00DB01AB"/>
    <w:rsid w:val="00DB31FA"/>
    <w:rsid w:val="00DB5991"/>
    <w:rsid w:val="00DD3CA7"/>
    <w:rsid w:val="00DD622F"/>
    <w:rsid w:val="00E405A8"/>
    <w:rsid w:val="00E458F4"/>
    <w:rsid w:val="00E54B8B"/>
    <w:rsid w:val="00E55FB6"/>
    <w:rsid w:val="00F02782"/>
    <w:rsid w:val="00F4605D"/>
    <w:rsid w:val="00F80923"/>
    <w:rsid w:val="00FB3047"/>
    <w:rsid w:val="00FE4D3D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4</cp:revision>
  <cp:lastPrinted>2016-01-07T21:20:00Z</cp:lastPrinted>
  <dcterms:created xsi:type="dcterms:W3CDTF">2016-01-07T15:40:00Z</dcterms:created>
  <dcterms:modified xsi:type="dcterms:W3CDTF">2016-01-07T21:23:00Z</dcterms:modified>
</cp:coreProperties>
</file>