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400"/>
        <w:gridCol w:w="2808"/>
      </w:tblGrid>
      <w:tr w:rsidR="005D1CB8" w:rsidTr="005D1CB8">
        <w:tc>
          <w:tcPr>
            <w:tcW w:w="1368" w:type="dxa"/>
          </w:tcPr>
          <w:p w:rsidR="005D1CB8" w:rsidRDefault="005D1CB8">
            <w:r>
              <w:t>Time</w:t>
            </w:r>
          </w:p>
        </w:tc>
        <w:tc>
          <w:tcPr>
            <w:tcW w:w="5400" w:type="dxa"/>
          </w:tcPr>
          <w:p w:rsidR="005D1CB8" w:rsidRDefault="005D1CB8">
            <w:r>
              <w:t>Activity</w:t>
            </w:r>
          </w:p>
        </w:tc>
        <w:tc>
          <w:tcPr>
            <w:tcW w:w="2808" w:type="dxa"/>
          </w:tcPr>
          <w:p w:rsidR="005D1CB8" w:rsidRDefault="005D1CB8">
            <w:r>
              <w:t>Materials</w:t>
            </w:r>
          </w:p>
        </w:tc>
      </w:tr>
      <w:tr w:rsidR="005D1CB8" w:rsidTr="005D1CB8">
        <w:tc>
          <w:tcPr>
            <w:tcW w:w="1368" w:type="dxa"/>
          </w:tcPr>
          <w:p w:rsidR="005D1CB8" w:rsidRDefault="00946318">
            <w:r>
              <w:t>Unpacking sentence??</w:t>
            </w:r>
          </w:p>
        </w:tc>
        <w:tc>
          <w:tcPr>
            <w:tcW w:w="5400" w:type="dxa"/>
          </w:tcPr>
          <w:p w:rsidR="005D1CB8" w:rsidRDefault="005D1CB8">
            <w:r>
              <w:t xml:space="preserve">Welcome and Context </w:t>
            </w:r>
          </w:p>
          <w:p w:rsidR="003341F8" w:rsidRDefault="003341F8"/>
          <w:p w:rsidR="003341F8" w:rsidRDefault="003341F8">
            <w:r>
              <w:t>This session will have Theory</w:t>
            </w:r>
            <w:r w:rsidR="00BC10BE">
              <w:t xml:space="preserve"> </w:t>
            </w:r>
            <w:r w:rsidR="00BC10BE">
              <w:rPr>
                <w:color w:val="FF0000"/>
              </w:rPr>
              <w:t>(Many things have changed, need to understand shifts</w:t>
            </w:r>
            <w:r w:rsidR="00BE4219">
              <w:rPr>
                <w:color w:val="FF0000"/>
              </w:rPr>
              <w:t>, going through the mud</w:t>
            </w:r>
            <w:r w:rsidR="00BC10BE">
              <w:rPr>
                <w:color w:val="FF0000"/>
              </w:rPr>
              <w:t>)</w:t>
            </w:r>
            <w:r>
              <w:t>, Practice, and Planning</w:t>
            </w:r>
          </w:p>
          <w:p w:rsidR="003341F8" w:rsidRDefault="003341F8"/>
          <w:p w:rsidR="005D1CB8" w:rsidRDefault="003341F8">
            <w:r>
              <w:t xml:space="preserve">Meaning-making resource and </w:t>
            </w:r>
            <w:r w:rsidR="005D1CB8">
              <w:t>Expanded Notion of Grammar</w:t>
            </w:r>
          </w:p>
          <w:p w:rsidR="003341F8" w:rsidRDefault="003341F8"/>
          <w:p w:rsidR="003341F8" w:rsidRDefault="003341F8">
            <w:r>
              <w:t>Honoring language that students bring to school</w:t>
            </w:r>
          </w:p>
          <w:p w:rsidR="003341F8" w:rsidRPr="00BC10BE" w:rsidRDefault="003341F8">
            <w:pPr>
              <w:rPr>
                <w:color w:val="FF0000"/>
              </w:rPr>
            </w:pPr>
            <w:r>
              <w:t xml:space="preserve">If not right and wrong, what are we teaching? </w:t>
            </w:r>
            <w:proofErr w:type="spellStart"/>
            <w:r>
              <w:t>Apend</w:t>
            </w:r>
            <w:proofErr w:type="spellEnd"/>
            <w:r>
              <w:t>. C pg.7</w:t>
            </w:r>
            <w:r w:rsidR="00BC10BE">
              <w:t xml:space="preserve"> </w:t>
            </w:r>
            <w:r w:rsidR="00BC10BE">
              <w:rPr>
                <w:color w:val="FF0000"/>
              </w:rPr>
              <w:t>Question? “Situational Appropriateness” –Audience/Task/Purpose</w:t>
            </w:r>
          </w:p>
          <w:p w:rsidR="003341F8" w:rsidRDefault="003341F8"/>
          <w:p w:rsidR="003341F8" w:rsidRDefault="003341F8" w:rsidP="003341F8">
            <w:r>
              <w:t xml:space="preserve">In this session, we will explore What to teach, how to teach it, and when to teach it (LBC) </w:t>
            </w:r>
          </w:p>
        </w:tc>
        <w:tc>
          <w:tcPr>
            <w:tcW w:w="2808" w:type="dxa"/>
          </w:tcPr>
          <w:p w:rsidR="005D1CB8" w:rsidRDefault="005D1CB8">
            <w:r>
              <w:t xml:space="preserve">From/To graphic from page 5 of </w:t>
            </w:r>
            <w:proofErr w:type="spellStart"/>
            <w:r>
              <w:t>Apend</w:t>
            </w:r>
            <w:proofErr w:type="spellEnd"/>
            <w:r>
              <w:t>. B</w:t>
            </w:r>
          </w:p>
          <w:p w:rsidR="003341F8" w:rsidRDefault="003341F8"/>
          <w:p w:rsidR="003341F8" w:rsidRDefault="003341F8">
            <w:r>
              <w:t xml:space="preserve">Endnote #2 from </w:t>
            </w:r>
            <w:proofErr w:type="spellStart"/>
            <w:r>
              <w:t>Apend</w:t>
            </w:r>
            <w:proofErr w:type="spellEnd"/>
            <w:r>
              <w:t>. B</w:t>
            </w:r>
          </w:p>
          <w:p w:rsidR="003341F8" w:rsidRDefault="003341F8"/>
          <w:p w:rsidR="003341F8" w:rsidRDefault="003341F8">
            <w:proofErr w:type="spellStart"/>
            <w:r>
              <w:t>Apend</w:t>
            </w:r>
            <w:proofErr w:type="spellEnd"/>
            <w:r>
              <w:t>. C page 7</w:t>
            </w:r>
          </w:p>
        </w:tc>
      </w:tr>
      <w:tr w:rsidR="005D1CB8" w:rsidTr="005D1CB8">
        <w:tc>
          <w:tcPr>
            <w:tcW w:w="1368" w:type="dxa"/>
          </w:tcPr>
          <w:p w:rsidR="005D1CB8" w:rsidRDefault="005D1CB8"/>
        </w:tc>
        <w:tc>
          <w:tcPr>
            <w:tcW w:w="5400" w:type="dxa"/>
          </w:tcPr>
          <w:p w:rsidR="005D1CB8" w:rsidRDefault="005D1CB8">
            <w:r>
              <w:t xml:space="preserve">What: Conventions </w:t>
            </w:r>
            <w:r w:rsidR="00A9084F">
              <w:t xml:space="preserve">of Standards English </w:t>
            </w:r>
            <w:r>
              <w:t xml:space="preserve">as one </w:t>
            </w:r>
            <w:r w:rsidR="00A9084F">
              <w:t>set of ingredients</w:t>
            </w:r>
            <w:r>
              <w:t xml:space="preserve"> of grammar</w:t>
            </w:r>
          </w:p>
          <w:p w:rsidR="003341F8" w:rsidRDefault="005D1CB8">
            <w:r>
              <w:t>CCSS Language Standards</w:t>
            </w:r>
            <w:r w:rsidR="00C04464">
              <w:t xml:space="preserve"> 1 &amp; 2 minus spelling</w:t>
            </w:r>
          </w:p>
          <w:p w:rsidR="00C04464" w:rsidRDefault="00C04464">
            <w:r>
              <w:t>These are all “linguistic resources” if students are taught in the context of making appropriate linguistic choices rather than absolute rules.</w:t>
            </w:r>
          </w:p>
          <w:p w:rsidR="00C04464" w:rsidRDefault="00C04464"/>
          <w:p w:rsidR="00C04464" w:rsidRDefault="00C04464">
            <w:r>
              <w:t>Example – Tenth Good Thing About Barney</w:t>
            </w:r>
          </w:p>
          <w:p w:rsidR="008F22FF" w:rsidRDefault="008F22FF"/>
        </w:tc>
        <w:tc>
          <w:tcPr>
            <w:tcW w:w="2808" w:type="dxa"/>
          </w:tcPr>
          <w:p w:rsidR="005D1CB8" w:rsidRDefault="003341F8">
            <w:r>
              <w:t>Language Standards</w:t>
            </w:r>
          </w:p>
          <w:p w:rsidR="00C04464" w:rsidRDefault="00C04464">
            <w:r>
              <w:t>Tenth Good Thing About Barney</w:t>
            </w:r>
          </w:p>
        </w:tc>
      </w:tr>
      <w:tr w:rsidR="005D1CB8" w:rsidTr="005D1CB8">
        <w:tc>
          <w:tcPr>
            <w:tcW w:w="1368" w:type="dxa"/>
          </w:tcPr>
          <w:p w:rsidR="005D1CB8" w:rsidRDefault="005D1CB8"/>
        </w:tc>
        <w:tc>
          <w:tcPr>
            <w:tcW w:w="5400" w:type="dxa"/>
          </w:tcPr>
          <w:p w:rsidR="005D1CB8" w:rsidRDefault="005D1CB8">
            <w:r>
              <w:t xml:space="preserve">What: The rest of the grammar </w:t>
            </w:r>
          </w:p>
          <w:p w:rsidR="003341F8" w:rsidRDefault="003341F8">
            <w:r>
              <w:t>Part II of ELD Standards</w:t>
            </w:r>
          </w:p>
          <w:p w:rsidR="003341F8" w:rsidRDefault="003341F8"/>
          <w:p w:rsidR="003341F8" w:rsidRDefault="003341F8">
            <w:r>
              <w:t>Key Language Processes</w:t>
            </w:r>
          </w:p>
          <w:p w:rsidR="003341F8" w:rsidRDefault="003341F8">
            <w:r>
              <w:t>Strands</w:t>
            </w:r>
          </w:p>
          <w:p w:rsidR="008F22FF" w:rsidRDefault="008F22FF"/>
          <w:p w:rsidR="008F22FF" w:rsidRDefault="008F22FF">
            <w:r>
              <w:t xml:space="preserve">Expert Jigsaw– Become an expert in a </w:t>
            </w:r>
            <w:r w:rsidR="00C04464">
              <w:t>Process</w:t>
            </w:r>
            <w:r>
              <w:t xml:space="preserve">, then meet with </w:t>
            </w:r>
            <w:r w:rsidR="00C04464">
              <w:t>heterogeneous groups</w:t>
            </w:r>
          </w:p>
          <w:p w:rsidR="008F22FF" w:rsidRDefault="008F22FF"/>
          <w:p w:rsidR="008F22FF" w:rsidRDefault="008F22FF">
            <w:r>
              <w:t>Read from glossary</w:t>
            </w:r>
          </w:p>
          <w:p w:rsidR="003341F8" w:rsidRDefault="003341F8"/>
          <w:p w:rsidR="003341F8" w:rsidRDefault="003341F8"/>
        </w:tc>
        <w:tc>
          <w:tcPr>
            <w:tcW w:w="2808" w:type="dxa"/>
          </w:tcPr>
          <w:p w:rsidR="005D1CB8" w:rsidRDefault="003341F8">
            <w:r>
              <w:t>ELD Standards</w:t>
            </w:r>
          </w:p>
        </w:tc>
      </w:tr>
      <w:tr w:rsidR="00F756E2" w:rsidTr="005D1CB8">
        <w:tc>
          <w:tcPr>
            <w:tcW w:w="1368" w:type="dxa"/>
          </w:tcPr>
          <w:p w:rsidR="00F756E2" w:rsidRDefault="00F756E2"/>
        </w:tc>
        <w:tc>
          <w:tcPr>
            <w:tcW w:w="5400" w:type="dxa"/>
          </w:tcPr>
          <w:p w:rsidR="00F756E2" w:rsidRDefault="00F756E2">
            <w:r>
              <w:t>What: Based on formative assessment and/or genre study</w:t>
            </w:r>
          </w:p>
        </w:tc>
        <w:tc>
          <w:tcPr>
            <w:tcW w:w="2808" w:type="dxa"/>
          </w:tcPr>
          <w:p w:rsidR="00F756E2" w:rsidRDefault="00F756E2">
            <w:r>
              <w:t>Example</w:t>
            </w:r>
            <w:bookmarkStart w:id="0" w:name="_GoBack"/>
            <w:bookmarkEnd w:id="0"/>
          </w:p>
        </w:tc>
      </w:tr>
      <w:tr w:rsidR="005D1CB8" w:rsidTr="005D1CB8">
        <w:tc>
          <w:tcPr>
            <w:tcW w:w="1368" w:type="dxa"/>
          </w:tcPr>
          <w:p w:rsidR="005D1CB8" w:rsidRDefault="005D1CB8"/>
        </w:tc>
        <w:tc>
          <w:tcPr>
            <w:tcW w:w="5400" w:type="dxa"/>
          </w:tcPr>
          <w:p w:rsidR="005D1CB8" w:rsidRDefault="005D1CB8">
            <w:r>
              <w:t>How: Inquiry, Mini-lesson, “language play</w:t>
            </w:r>
            <w:r w:rsidR="00BE4219">
              <w:t xml:space="preserve"> with a purpose</w:t>
            </w:r>
            <w:r>
              <w:t>”</w:t>
            </w:r>
          </w:p>
        </w:tc>
        <w:tc>
          <w:tcPr>
            <w:tcW w:w="2808" w:type="dxa"/>
          </w:tcPr>
          <w:p w:rsidR="005D1CB8" w:rsidRDefault="00BE4219" w:rsidP="00BE4219">
            <w:r>
              <w:t>Come On Rain Lessons for inquiry and mini-lesson</w:t>
            </w:r>
          </w:p>
          <w:p w:rsidR="00BE4219" w:rsidRDefault="00BE4219" w:rsidP="00BE4219"/>
          <w:p w:rsidR="00BE4219" w:rsidRDefault="00BE4219" w:rsidP="00BE4219">
            <w:r>
              <w:t>Unpacking sentences</w:t>
            </w:r>
          </w:p>
          <w:p w:rsidR="009256B5" w:rsidRDefault="009256B5" w:rsidP="00BE4219">
            <w:r>
              <w:t>(PPC, Text Reconstruction, Chain of Reference, etc.) Refer to framework</w:t>
            </w:r>
          </w:p>
        </w:tc>
      </w:tr>
      <w:tr w:rsidR="005D1CB8" w:rsidTr="005D1CB8">
        <w:tc>
          <w:tcPr>
            <w:tcW w:w="1368" w:type="dxa"/>
          </w:tcPr>
          <w:p w:rsidR="005D1CB8" w:rsidRDefault="005D1CB8"/>
        </w:tc>
        <w:tc>
          <w:tcPr>
            <w:tcW w:w="5400" w:type="dxa"/>
          </w:tcPr>
          <w:p w:rsidR="005D1CB8" w:rsidRDefault="005D1CB8">
            <w:r>
              <w:t>When: Literacy Block Components (Interactive/Shared Read Aloud, Shared/Interactive Writing, Workshop, Conventions, Designated ELD)</w:t>
            </w:r>
          </w:p>
        </w:tc>
        <w:tc>
          <w:tcPr>
            <w:tcW w:w="2808" w:type="dxa"/>
          </w:tcPr>
          <w:p w:rsidR="005D1CB8" w:rsidRDefault="004D00CA">
            <w:r>
              <w:t>Teaching Cycle</w:t>
            </w:r>
          </w:p>
        </w:tc>
      </w:tr>
      <w:tr w:rsidR="005D1CB8" w:rsidTr="005D1CB8">
        <w:tc>
          <w:tcPr>
            <w:tcW w:w="1368" w:type="dxa"/>
          </w:tcPr>
          <w:p w:rsidR="005D1CB8" w:rsidRDefault="005D1CB8"/>
        </w:tc>
        <w:tc>
          <w:tcPr>
            <w:tcW w:w="5400" w:type="dxa"/>
          </w:tcPr>
          <w:p w:rsidR="004D00CA" w:rsidRDefault="004D00CA">
            <w:r>
              <w:t>Connecting grammar instruction to genre</w:t>
            </w:r>
          </w:p>
          <w:p w:rsidR="004D00CA" w:rsidRDefault="004D00CA"/>
        </w:tc>
        <w:tc>
          <w:tcPr>
            <w:tcW w:w="2808" w:type="dxa"/>
          </w:tcPr>
          <w:p w:rsidR="005D1CB8" w:rsidRDefault="005D1CB8"/>
        </w:tc>
      </w:tr>
    </w:tbl>
    <w:p w:rsidR="00096053" w:rsidRDefault="00096053"/>
    <w:sectPr w:rsidR="0009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8"/>
    <w:rsid w:val="00096053"/>
    <w:rsid w:val="003341F8"/>
    <w:rsid w:val="004D00CA"/>
    <w:rsid w:val="005D1CB8"/>
    <w:rsid w:val="008F22FF"/>
    <w:rsid w:val="009256B5"/>
    <w:rsid w:val="00946318"/>
    <w:rsid w:val="00A9084F"/>
    <w:rsid w:val="00BC10BE"/>
    <w:rsid w:val="00BE4219"/>
    <w:rsid w:val="00C04464"/>
    <w:rsid w:val="00F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3</cp:revision>
  <dcterms:created xsi:type="dcterms:W3CDTF">2015-06-09T21:15:00Z</dcterms:created>
  <dcterms:modified xsi:type="dcterms:W3CDTF">2015-06-10T16:27:00Z</dcterms:modified>
</cp:coreProperties>
</file>